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5A_964/2014 vom 2. April 2015</w:t>
      </w:r>
    </w:p>
    <w:p>
      <w:r>
        <w:t>Bundesgericht, 2015-04-02, DE</w:t>
      </w:r>
    </w:p>
    <w:p>
      <w:r>
        <w:rPr>
          <w:b/>
        </w:rPr>
        <w:t xml:space="preserve">Quelle: </w:t>
      </w:r>
      <w:r>
        <w:t>https://mcp.opencaselaw.ch/entscheid/bger_5A_964_2014</w:t>
      </w:r>
    </w:p>
    <w:p>
      <w:r>
        <w:t>FR: TF 5A_964/2014 du 2 avril 2015</w:t>
      </w:r>
    </w:p>
    <w:p>
      <w:r>
        <w:t>IT: TF 5A_964/2014 del 2 aprile 2015</w:t>
      </w:r>
    </w:p>
    <w:p>
      <w:pPr>
        <w:pStyle w:val="Heading2"/>
      </w:pPr>
      <w:r>
        <w:t>Erwägungen</w:t>
      </w:r>
    </w:p>
    <w:p>
      <w:r>
        <w:rPr>
          <w:b/>
        </w:rPr>
        <w:t>E. 1.1</w:t>
      </w:r>
    </w:p>
    <w:p>
      <w:r>
        <w:t>Angefochten ist ein selbständig eröffneter Zwischenentscheid in einem Verfahren um Gewährung der unentgeltlichen Rechtspflege, womit ein nicht wieder gutzumachender Nachteil drohen kann ( Art. 93 Abs. 1 lit. a BGG ). In der Hauptsache geht es um eine Kollokationsklage, konkret eine Wegweisungsklage nach Art. 250 Abs. 2 SchKG , betreffend eine Forderung nach Bundeszivilrecht, die der Beschwerde in Zivilsachen zugänglich ist ( Art. 72 Abs. 1 SchKG ; BGE 135 III 545 E. 1 S. 547). Der erforderliche Streitwert ist gegeben ( Art. 74 Abs. 1 lit. b BGG ; BGE 138 III 675 , nicht publ. E.1.2; BGE 135 III 545 E. 1 S. 547). Die Eingabe der Beschwerdeführerin ist daher als Beschwerde in Zivilsachen entgegenzunehmen.</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Soweit die Beschwerdeführerin mit ihrer Schilderung der Vorgeschichte und des Verhaltens der Beklagten im Hauptverfahren den Sachverhalt zu ergänzen versucht, ist darauf nicht einzugehen. Neue Tatsachen und Beweismittel sind nicht zulässig ( Art. 99 Abs. 1 BGG ). Die erneute Eingabe der Beschwerdeführerin an das Bezirksgericht vom 1. Dezember 2014 wird daher nicht berücksichtigt.</w:t>
      </w:r>
    </w:p>
    <w:p>
      <w:r>
        <w:rPr>
          <w:b/>
        </w:rPr>
        <w:t>E. 2</w:t>
      </w:r>
    </w:p>
    <w:p>
      <w:r>
        <w:t>Anlass zur Beschwerde gibt die Anfechtbarkeit einer prozessleitenden Verfügung. Hingegen ist das Gesuch um Wiederherstellung der Frist für die Einreichung von Unterlagen zur Beurteilung der unentgeltlichen Rechtspflege als solches nicht Gegenstand des vorliegenden Verfahrens.</w:t>
      </w:r>
    </w:p>
    <w:p>
      <w:r>
        <w:rPr>
          <w:b/>
        </w:rPr>
        <w:t>E. 2.1</w:t>
      </w:r>
    </w:p>
    <w:p>
      <w:r>
        <w:t>Gemäss Art. 124 Abs. 1 ZPO leitet das Gericht den Prozess und erlässt die notwendigen prozessleitenden Verfügungen zur zügigen Vorbereitung und Durchführung des Verfahrens. Derartige Verfügungen beziehen sich nicht auf den Streitgegenstand an sich und äussern sich nicht zur Begründetheit der Klage. Sie können nur in den vom Gesetz vorgesehenen Fällen oder bei Drohung eines nicht leicht wiedergutzumachenden Nachteils mit Beschwerde an die obere Instanz weitergezogen werden ( Art. 319 lit. b Ziff. 2 ZPO ). Demgegenüber wird mit einem Zwischenentscheid ( Art. 319 lit. a ZPO ) eine formelle oder materielle Vorfrage vorab beantwortet, von welcher der weitere Verfahrensablauf abhängt. Er schliesst das Verfahren nicht ab, sondern stellt nur einen Schritt auf dem Weg zum Endentscheid dar (vgl. Staehelin/Staehelin/Grolimund, Zivilprozessrecht, 2. Aufl. 2013, § 23 Rz. 4 f.).</w:t>
      </w:r>
    </w:p>
    <w:p>
      <w:r>
        <w:rPr>
          <w:b/>
        </w:rPr>
        <w:t>E. 2.2</w:t>
      </w:r>
    </w:p>
    <w:p>
      <w:r>
        <w:t>Eine Partei ist säumig, wenn sie eine Prozesshandlung nicht fristgerecht vornimmt oder zu einem Termin nicht erscheint ( Art. 147 Abs. 1 ZPO ). Die säumige Partei kann das Gericht um eine Nachfrist oder um eine erneute Vorladung ersuchen, wenn sie glaubhaft macht, dass sie kein oder nur ein leichtes Verschulden trifft ( Art. 148 Abs. 1 ZPO ). Das Gericht gibt der Gegenpartei Gelegenheit zur Stellungnahme und entscheidet endgültig ( Art. 149 ZPO ). Im vorliegenden Fall ist die Erstinstanz auf das Gesuch um Wiederherstellung zur Einreichung von Unterlagen zwecks Gewährung der unentgeltlichen Rechtspflege nicht eingetreten. Darin - d.h. im Nichteintreten auf das Wiederherstellungsgesuch - erblickte die Vorinstanz eine prozessleitende Verfügung, der kein nicht leicht wiedergutmachender Nachteil zukommt ( Art. 319 lit. b Ziff. 2 ZPO ). Damit sei die Beschwerde nicht gegeben.</w:t>
      </w:r>
    </w:p>
    <w:p>
      <w:r>
        <w:rPr>
          <w:b/>
        </w:rPr>
        <w:t>E. 2.3</w:t>
      </w:r>
    </w:p>
    <w:p>
      <w:r>
        <w:t>Die Beschwerdeführerin besteht auf einem nicht leicht wiedergutzumachenden Nachteil. Da ihr die Wiederherstellung der Frist verweigert worden sei, drohe ihr hinsichtlich der Klage vor Bezirksgericht die Säumnis, denn sie sei mittellos und werde daher die geforderte Sicherstellung der Parteientschädigung nicht leisten können. Hier vermengt die Beschwerdeführerin den Prozessausgang in der Hauptsache mit dem Verfahren um Gewährung der unentgeltlichen Rechtspflege. Wie bereits die Vorinstanz festgehalten hat, ist die Beschwerde nur zulässig, sofern infolge Verweigerung der Fristwiederherstellung ein definitiver Verlust der Klage oder eines Angriffsmittels droht. Dabei konnte sie sich auf die bundesgerichtliche Rechtsprechung ( BGE 139 III 478 E. 1 und 6 S. 479 ff.) und die Lehre ( HOFFMANN-NOWOTNY, in: Oberhammer [Hrsg.], Kurzkommentar ZPO, 2. Aufl. 2014, N. 5 zu Art. 149; STAEHELIN, in: Sutter-Somm/Hasenböhler/Leuenberger [Hrsg.], Kommentar zur Schweizerischen Zivilprozessordnung [ZPO], 2. Aufl. 2013, N. 4 zu Art. 149) zur Auslegung von Art. 149 ZPO stützen. Auch weitere Autoren teilen zumindest grundsätzlich diese Auffassung (Gasser/Rickli, Schweizerische Zivilprozessordnung [ZPO]: Kurzkommentar, 2. Aufl. 2014, N. 2 zu Art. 149; FREI, in: Berner Kommentar, Schweizerische Zivilprozessordnung, 2012, N. 11 zu Art. 149; kritisch allerdings TAPPY, in: Code de procédure civile commenté, 2011, N. 12 zu Art. 149, und relativierend GOZZI, in: Basler Kommentar, Schweizerische Zivilprozessordnung, 2. Aufl. 2013, N. 10 ff. zu Art. 149). Da es vorliegend gerade nicht um die Wiederherstellung der Frist für die Klage oder für ein Rechtsmittel geht, droht der Beschwerdeführerin kein definitiver Rechtsverlust. Damit droht ihr auch kein nicht leicht wiedergutzumachender Nachteil im Sinne des Gesetzes, der sie zur Beschwerde an die Vorinstanz berechtigt hätte.</w:t>
      </w:r>
    </w:p>
    <w:p>
      <w:r>
        <w:rPr>
          <w:b/>
        </w:rPr>
        <w:t>E. 3</w:t>
      </w:r>
    </w:p>
    <w:p>
      <w:r>
        <w:t>Nach dem Gesagten ist der Beschwerde kein Erfolg beschieden. Infolge Gewährung der aufschiebenden Wirkung für das bundesgerichtliche Verfahren wird der Beschwerdeführerin eine einzige Frist von zehn Tagen zur Leistung der Sicherheit für die Parteientschädigung in der Höhe von Fr. 38'100.-- zu Handen des Bezirksgerichts angesetzt, beginnend mit dem Eingang des Urteils bei der Zustelladresse in der Schweiz, andernfalls auf die Klage der Beschwerdeführerin nicht einzutreten ist. Das Gesuch der Beschwerdeführerin um unentgeltliche Rechtspflege ist infolge Aussichtslosigkeit der Anträge abzuweisen ( Art. 64 Abs. 1 BGG ).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