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962/2021 vom 12. Januar 2022</w:t>
      </w:r>
    </w:p>
    <w:p>
      <w:r>
        <w:t>Bundesgericht, 2022-01-12, FR</w:t>
      </w:r>
    </w:p>
    <w:p>
      <w:r>
        <w:rPr>
          <w:b/>
        </w:rPr>
        <w:t xml:space="preserve">Quelle: </w:t>
      </w:r>
      <w:r>
        <w:t>https://mcp.opencaselaw.ch/entscheid/bger_5A_962_2021</w:t>
      </w:r>
    </w:p>
    <w:p>
      <w:r>
        <w:t>FR: TF 5A 962/2021 du 12 janvier 2022</w:t>
      </w:r>
    </w:p>
    <w:p>
      <w:r>
        <w:t>IT: TF 5A 962/2021 del 12 gennaio 2022</w:t>
      </w:r>
    </w:p>
    <w:p>
      <w:pPr>
        <w:pStyle w:val="Heading2"/>
      </w:pPr>
      <w:r>
        <w:t>Regeste</w:t>
      </w:r>
    </w:p>
    <w:p>
      <w:r>
        <w:t>curatelle de représentation et de gestion, tâches de la curatrice | Droit de la famille</w:t>
      </w:r>
    </w:p>
    <w:p>
      <w:pPr>
        <w:pStyle w:val="Heading2"/>
      </w:pPr>
      <w:r>
        <w:t>Erwägungen</w:t>
      </w:r>
    </w:p>
    <w:p>
      <w:r>
        <w:rPr>
          <w:b/>
        </w:rPr>
        <w:t>E. 1</w:t>
      </w:r>
    </w:p>
    <w:p>
      <w:r>
        <w:t>Par arrêt du 1er novembre 2021, la Chambre des curatelles du Tribunal cantonal du canton de Vaud a rejeté le recours interjeté par A.A.________ le 27 juillet 2021 et confirmé la décision rendue le 22 juin 2021 par la Justice de paix du district de la Riviera - Pays-d'Enhaut dans la cause concernant B.A.________ (né en 1942), confirmant notamment la curatelle de représentation et de gestion instituée en faveur du prénommé, maintenant C.________ en qualité de curatrice, confirmant l'extension des tâches de la curatrice et rappelant les tâches de celle-ci.</w:t>
      </w:r>
    </w:p>
    <w:p>
      <w:r>
        <w:rPr>
          <w:b/>
        </w:rPr>
        <w:t>E. 2</w:t>
      </w:r>
    </w:p>
    <w:p>
      <w:r>
        <w:t>Par acte daté du 5 novembre 2021, mais remis à la Poste suisse le 22 novembre 2021, A.A.________ exerce un recours en matière civile au Tribunal fédéral. La légitimation de la recourante pour exercer un recours au Tribunal fédéral est pour le moins douteuse ( art. 76 al. 1 let. b LTF ), mais peut rester indécise, dès lors que son recours est quoi qu'il en soit irrecevable pour les motifs qui suivent. Dans son écriture, la recourante expose sur plusieurs pages " l'historique " de son époux et d'elle-même, en remontant à l'année 2004 et aux problèmes - singulièrement de santé et de communication avec le CMS et les divers EMS fréquentés par son époux - qu'ils ont rencontrés. Ce faisant, la recourante ne s'en prend pas aux considérants de l'arrêt attaqué ( art. 42 al. 2 LTF ) et ne précise nullement quel (s) aspect (s) de la décision déférée elle conteste, partant, elle ne démontre pas que le raisonnement de la décision cantonale querellée violerait le droit. En conséquence, le présent recours ne satisfait pas aux exigences minimales de motivation posées par l' art. 42 al. 2 LTF . De surcroît, l'acte ne contient aucune conclusion, même informelle ( art. 42 al. 1 LTF ).</w:t>
      </w:r>
    </w:p>
    <w:p>
      <w:r>
        <w:rPr>
          <w:b/>
        </w:rPr>
        <w:t>E. 3</w:t>
      </w:r>
    </w:p>
    <w:p>
      <w:r>
        <w:t>En définitive, le présent recours, qui ne correspond pas aux exigences minimales de motivation, doit être déclaré irrecevable selon la procédure simplifiée de l' art. 108 al. 1 let. a et b LTF . 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