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5A_961/2019 vom 27. November 2019</w:t>
      </w:r>
    </w:p>
    <w:p>
      <w:r>
        <w:t>Bundesgericht, 2019-11-27, DE</w:t>
      </w:r>
    </w:p>
    <w:p>
      <w:r>
        <w:rPr>
          <w:b/>
        </w:rPr>
        <w:t xml:space="preserve">Quelle: </w:t>
      </w:r>
      <w:r>
        <w:t>https://mcp.opencaselaw.ch/entscheid/bger_5A_961_2019</w:t>
      </w:r>
    </w:p>
    <w:p>
      <w:r>
        <w:t>FR: TF 5A_961/2019 du 27 novembre 2019</w:t>
      </w:r>
    </w:p>
    <w:p>
      <w:r>
        <w:t>IT: TF 5A_961/2019 del 27 novembre 2019</w:t>
      </w:r>
    </w:p>
    <w:p>
      <w:pPr>
        <w:pStyle w:val="Heading2"/>
      </w:pPr>
      <w:r>
        <w:t>Erwägungen</w:t>
      </w:r>
    </w:p>
    <w:p>
      <w:r>
        <w:rPr>
          <w:b/>
        </w:rPr>
        <w:t>E. 1</w:t>
      </w:r>
    </w:p>
    <w:p>
      <w:r>
        <w:t>Die Beschwerde hat ein Rechtsbegehren und eine Begründung zu enthalten, in welcher in gedrängter Form dargelegt wird, inwiefern der angefochtene Entscheid Recht verletzt ( Art. 42 Abs. 2 BGG ). Soweit sich der angefochtene Entscheid auf kantonales Recht stützt, sind nur Verfassungsrügen, namentlich Willkürrügen zulässig (zuletzt Urteil 1C_147/2019 vom 1. November 2019 E. 1.2).</w:t>
      </w:r>
    </w:p>
    <w:p>
      <w:r>
        <w:rPr>
          <w:b/>
        </w:rPr>
        <w:t>E. 2</w:t>
      </w:r>
    </w:p>
    <w:p>
      <w:r>
        <w:t>Die Beschwerde scheitert bereits daran, dass sie kein Rechtsbegehren enthält. Sodann ist auch die Begründung nicht geeignet, eine Rechtsverletzung bzw. eine willkürliche Anwendung des kantonalen Verfahrensrechtes aufzuzeigen: Der Beschwerdeführer macht geltend, keine Fr. 800.-- zu besitzen, um den Kostenvorschuss zu bezahlen. Soweit dies zutreffen würde bzw. zugetroffen hätte, wäre unmittelbar nach der Kostenvorschussverfügung beim Verwaltungsgericht ein Gesuch um unentgeltliche Rechtspflege zu stellen gewesen. Der Nichteintretensentscheid war hingegen die gesetzliche Folge des Nichtbezahlens des Kostenvorschusses, ohne dass ein solches Gesuch gestellt wurde. Ferner können die (rudimentären) Ausführungen in der Sache nicht gehört werden, weil bei angefochtenen Nichteintretensentscheiden im bundesgerichtlichen Verfahren vorab darzutun ist, wieso die Vorinstanz hätte eintreten und die kantonale Beschwerde materiell behandeln müssen.</w:t>
      </w:r>
    </w:p>
    <w:p>
      <w:r>
        <w:rPr>
          <w:b/>
        </w:rPr>
        <w:t>E. 3</w:t>
      </w:r>
    </w:p>
    <w:p>
      <w:r>
        <w:t>Die Beschwerde enthält kein Rechtsbegehren und ist auch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