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5A_95/2021 vom 19. Februar 2021</w:t>
      </w:r>
    </w:p>
    <w:p>
      <w:r>
        <w:t>Bundesgericht, 2021-02-19, FR</w:t>
      </w:r>
    </w:p>
    <w:p>
      <w:r>
        <w:rPr>
          <w:b/>
        </w:rPr>
        <w:t xml:space="preserve">Quelle: </w:t>
      </w:r>
      <w:r>
        <w:t>https://mcp.opencaselaw.ch/entscheid/bger_5A_95_2021</w:t>
      </w:r>
    </w:p>
    <w:p>
      <w:r>
        <w:t>FR: TF 5A_95/2021 du 19 février 2021</w:t>
      </w:r>
    </w:p>
    <w:p>
      <w:r>
        <w:t>IT: TF 5A_95/2021 del 19 febbraio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Statuant sur appel le 15 décembre 2020, la Chambre civile de la Cour de justice du canton de Genève a dit que le domicile légal des enfants mineurs B.________ et C.A.________ est fixé au domicile de leur mère, D.________; elle a en outre invité tout débiteur et/ou employeur de A.A.________ (</w:t>
      </w:r>
    </w:p>
    <w:p>
      <w:r>
        <w:t>i.e. père) à verser mensuellement en mains de la mère toutes sommes supérieures à 3'305 fr., à concurrence des contributions d'entretien de 600 fr. par mois dues à chacun des enfants, prélevées notamment sur son salaire ou ses indemnités de chômage, ainsi que sur toute commission, tout 13ème salaire et/ou toute autre gratification.</w:t>
      </w:r>
    </w:p>
    <w:p>
      <w:r>
        <w:rPr>
          <w:b/>
        </w:rPr>
        <w:t>E. 2</w:t>
      </w:r>
    </w:p>
    <w:p>
      <w:r>
        <w:t>Par actes séparés datés du 1er février 2021, le père exerce un recours en matière civile et un recours constitutionnel subsidiaire au Tribunal fédéral contre l'arrêt cantonal.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Le recourant n'a pas formé ses deux recours dans le même mémoire, comme le prescrit l' art. 119 al. 1 LTF . Il ne s'agit cependant pas d'un motif d'irrecevabilité et, vu l'issue de la présente procédure, il n'y a pas lieu de lui renvoyer ces écritures afin de réparer cette irrégularité (arrêt 5A_628/2020 du 24 août 2020 consid. 3.1), étant par ailleurs rappelé que la violation des droits constitutionnels (</w:t>
      </w:r>
    </w:p>
    <w:p>
      <w:r>
        <w:t>i.c.</w:t>
      </w:r>
    </w:p>
    <w:p>
      <w:r>
        <w:t>art. 30 al. 1 Cst. ) peut être dénoncée à l'appui d'un recours en matière civile ( ATF 134 III 379 consid. 1.2 et les arrêts cités).</w:t>
      </w:r>
    </w:p>
    <w:p>
      <w:r>
        <w:rPr>
          <w:b/>
        </w:rPr>
        <w:t>E. 4</w:t>
      </w:r>
    </w:p>
    <w:p>
      <w:r>
        <w:t>Conformément à l' art. 100 al. 1 LTF , le recours contre une décision doit être déposé devant le Tribunal fédéral dans les 30 jours qui suivent la notification de l'expédition complète.</w:t>
      </w:r>
    </w:p>
    <w:p>
      <w:r>
        <w:t>En l'espèce, il est constant que l'arrêt déféré a été notifié au recourant le 21 décembre 2020 ( art. 46 al. 1 let . c LTF); le 3 janvier étant pris en compte dans la supputation du délai - même s'il s'agit d'un dimanche (arrêt 5A_759/2020 du 22 septembre 2020 consid. 2) -, celui-ci est parvenu à échéance le 1er février 2021 ( ATF 132 II 153 consid. 4.2; 143 III 589 consid. 3.2; parmi plusieurs: arrêt 5A_87/2020 du 7 juillet 2020 consid. 1.2, avec d'autres citations). Le recourant affirme avoir déposé le présent recours "</w:t>
      </w:r>
    </w:p>
    <w:p>
      <w:r>
        <w:t>dans la boîte aux lettres jaune à ce jour ", mais une telle affirmation est contredite par le sceau postal, qui indique la date du</w:t>
      </w:r>
    </w:p>
    <w:p>
      <w:r>
        <w:t>2 février 2021 ; de toute façon, il n'a pas rapporté la preuve - stricte ( ATF 142 V 389 consid. 2.2, avec les citations; arrêt 5A_1038/2019 du 14 janvier 2020 consid. 5) - qu'il a effectivement déposé son écriture la veille (</w:t>
      </w:r>
    </w:p>
    <w:p>
      <w:r>
        <w:t>cf . FRÉSARD,</w:t>
      </w:r>
    </w:p>
    <w:p>
      <w:r>
        <w:t>in : Commentaire de la LTF, 2e éd., 2014, n° 30 ss ad art. 48 LTF , avec les arrêts cités).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a LTF ), avec suite de frais à la charge du recourant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