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5A_959/2025 vom 12. Januar 2026</w:t>
      </w:r>
    </w:p>
    <w:p>
      <w:r>
        <w:t>Bundesgericht, 2026-01-12, FR</w:t>
      </w:r>
    </w:p>
    <w:p>
      <w:r>
        <w:rPr>
          <w:b/>
        </w:rPr>
        <w:t xml:space="preserve">Quelle: </w:t>
      </w:r>
      <w:r>
        <w:t>https://mcp.opencaselaw.ch/entscheid/bger_5A_959_2025</w:t>
      </w:r>
    </w:p>
    <w:p>
      <w:r>
        <w:t>FR: TF 5A_959/2025 du 12 janvier 2026</w:t>
      </w:r>
    </w:p>
    <w:p>
      <w:r>
        <w:t>IT: TF 5A_959/2025 del 12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18 septembre 2025, la Présidente du Tribunal civil de la Gruyère a déclaré irrecevable la requête de révision déposée par la société A.________ SA le 17 juin 2025 et rayé la cause du rôle (ch. 1 et 2).</w:t>
      </w:r>
    </w:p>
    <w:p>
      <w:r>
        <w:t>Statuant le 20 octobre 2025, la Vice-Présidente de la IIe Cour d'appel civil du Tribunal cantonal de l'État de Fribourg a déclaré manifestement irrecevable le recours de la requérante (ch. I).</w:t>
      </w:r>
    </w:p>
    <w:p>
      <w:r>
        <w:rPr>
          <w:b/>
        </w:rPr>
        <w:t>E. 2</w:t>
      </w:r>
    </w:p>
    <w:p>
      <w:r>
        <w:t>Par acte expédié le 4 novembre 2025, B.________exerce un recours en matière civile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l'issue du recours, la requête du recourant tendant à la "</w:t>
      </w:r>
    </w:p>
    <w:p>
      <w:r>
        <w:t>tenue d'une audience par visioconférence " est rejetée; au demeurant, des mesures probatoires ( art. 55 LTF ) ne sont ordonnées qu'exceptionnellement en instance fédérale de recours (</w:t>
      </w:r>
    </w:p>
    <w:p>
      <w:r>
        <w:t>cf . parmi plusieurs: arrêt 5A_794/2025 du 5 décembre 2025 consid. 2.3 et les arrêts cités).</w:t>
      </w:r>
    </w:p>
    <w:p>
      <w:r>
        <w:rPr>
          <w:b/>
        </w:rPr>
        <w:t>E. 4</w:t>
      </w:r>
    </w:p>
    <w:p>
      <w:r>
        <w:t>Par acte du 10 novembre 2025, le prénommé sollicite une rectification "</w:t>
      </w:r>
    </w:p>
    <w:p>
      <w:r>
        <w:t>urgente de la désignation du recourant "; en substance, il expose que la société mentionnée sur l'avis de réception du recours "</w:t>
      </w:r>
    </w:p>
    <w:p>
      <w:r>
        <w:t>n'existe plus juridiquement " à la suite de sa radiation (</w:t>
      </w:r>
    </w:p>
    <w:p>
      <w:r>
        <w:t>recte : clôture de sa faillite) au registre du commerce le 23 septembre 2025.</w:t>
      </w:r>
    </w:p>
    <w:p>
      <w:r>
        <w:t>Il ressort des constatations de l'autorité précédente ( art. 105 al. 1 LTF ; ATF 140 III 16 consid. 1.3.1 et les citations), dont le caractère arbitraire n'est pas invoqué ( ATF 140 III 264 consid. 2.3 et les arrêts cités), que la procédure devant les juridictions cantonales - requête de révision et recours (</w:t>
      </w:r>
    </w:p>
    <w:p>
      <w:r>
        <w:t>cf . art. 319 ss et 328 ss CPC ) - a été conduite par la société " A.________ SA", et non par l'auteur du présent recours, qui ne s'exprime pas sur sa qualité pour recourir sous l'angle de l' art. 76 al. 1 LTF (</w:t>
      </w:r>
    </w:p>
    <w:p>
      <w:r>
        <w:t>cf . ATF 145 I 121 consid. 1, avec la jurisprudence citée). Il n'y a pas lieu d'approfondir cette question, le recours étant irrecevable pour un autre motif (</w:t>
      </w:r>
    </w:p>
    <w:p>
      <w:r>
        <w:t>cf .</w:t>
      </w:r>
    </w:p>
    <w:p>
      <w:r>
        <w:t>infra , consid. 5).</w:t>
      </w:r>
    </w:p>
    <w:p>
      <w:r>
        <w:rPr>
          <w:b/>
        </w:rPr>
        <w:t>E. 5.1</w:t>
      </w:r>
    </w:p>
    <w:p>
      <w:r>
        <w:t>En l'espèce, la juridiction cantonale a retenu que l'acte de recours ne contenait aucune motivation idoine, car il se résumait à une suite de développements incompréhensibles, formulés de façon toute générale et mêlant plusieurs procédures; au surplus, la recourante s'est bornée pour l'essentiel à revenir sur le fond du litige, ce qui excède l'objet de la procédure, son argumentation n'expliquant pas en quoi le premier juge aurait déclaré à tort irrecevable la requête de révision. Il s'ensuit que le recours est irrecevable, faute d'être motivé conformément à l' art. 321 al. 1 CPC . Supposé recevable, il eût été de toute manière rejeté, dès lors que la décision entreprise ne comporte aucune erreur, que ce soit dans l'application du droit et/ou dans sa justification en fait; il suffit d'y renvoyer par adoption de motifs.</w:t>
      </w:r>
    </w:p>
    <w:p>
      <w:r>
        <w:rPr>
          <w:b/>
        </w:rPr>
        <w:t>E. 5.2</w:t>
      </w:r>
    </w:p>
    <w:p>
      <w:r>
        <w:t>Selon la jurisprudence, la motivation du recours doit être topique, à savoir se rapporter à la question juridique tranchée par la juridiction précédente, en l'occurrence l'irrecevabilité du recours en raison de sa motivation déficiente ( ATF 144 II 184 consid. 1.1). Or, le recourant ne soulève pas le moindre grief à l'encontre du motif d'irrecevabilité retenu par l'autorité cantonale; singulièrement, il ne prétend pas que celle-ci aurait enfreint l' art. 321 al. 1 CPC ( art. 42 al. 2 LTF ) ou appliqué cette disposition de manière excessivement formaliste ( art. 106 al. 2 LTF ). Il s'ensuit que le recours apparaît entièrement irrecevable ( ATF 142 III 364 consid. 2.4 et les arrêts cités). Cela étant, il est inutile d'examiner les critiques - au demeurant incompréhensibles - dirigées à l'encontre du motif subsidiaire sur le fond ( ATF 135 III 608 consid. 4.6 et les arrêts mentionnés).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let. b LTF ). Les conclusions du recourant étaient d'emblée vouées à l'échec, ce qui entraîne le rejet de sa requête d'assistance judiciaire et sa condamnation aux frais de la procédure fédérale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