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5A_957/2023 vom 20. Dezember 2023</w:t>
      </w:r>
    </w:p>
    <w:p>
      <w:r>
        <w:t>Bundesgericht, 2023-12-20, DE</w:t>
      </w:r>
    </w:p>
    <w:p>
      <w:r>
        <w:rPr>
          <w:b/>
        </w:rPr>
        <w:t xml:space="preserve">Quelle: </w:t>
      </w:r>
      <w:r>
        <w:t>https://mcp.opencaselaw.ch/entscheid/bger_5A_957_2023</w:t>
      </w:r>
    </w:p>
    <w:p>
      <w:r>
        <w:t>FR: TF 5A_957/2023 du 20 décembre 2023</w:t>
      </w:r>
    </w:p>
    <w:p>
      <w:r>
        <w:t>IT: TF 5A_957/2023 del 20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Beschwerdeführer wiederholt weitgehend die Ausführungen in seinen diversen früheren Beschwerden und namentlich in der neulich eingereichten Beschwerde im Verfahren 5A_887/2023. In Bezug auf die angeblich unzulässige einzelrichterliche Besetzung kann auf die Erwägung 2 des Urteils 5A_887/2023 vom 30. November 2023 und in Bezug auf die angebliche Zuständigkeit des Verwaltungsgerichtes auf die Erwägung 4 des Urteils 5A_887/2023 verwiesen werden: Der Beschwerdeführer erhebt auch vorliegend keine gehörig substanziierten Verfassungsrügen betreffend die kantonal-rechtlichen Grundlagen zur Gerichtsbesetzung und ebenso wenig äussert er sich in topischer Weise zur Zuständigkeit des Verwaltungsgerichtes.</w:t>
      </w:r>
    </w:p>
    <w:p>
      <w:r>
        <w:t>Gleiches gilt in Bezug auf die Erwägungen im angefochtenen Entscheid zur grundsätzlich fehlenden Rechtsmittelmöglichkeit gegen die E-Mail des Handelsregisteramtes: Auch mit diesen setzt sich der Beschwerdeführer nicht in sachgerichteter Weise auseinander.</w:t>
      </w:r>
    </w:p>
    <w:p>
      <w:r>
        <w:t>Die weiteren (wie üblich weitschweifigen) Ausführungen gehen am Anfechtungsgegenstand vorbei; sie kreisen erneut um den - entgegen zahlreichen kantonalen und bundesgerichtlichen Entscheiden - vertretenen Standpunkt, dass es nicht um eine Familienstiftung gehe.</w:t>
      </w:r>
    </w:p>
    <w:p>
      <w:r>
        <w:rPr>
          <w:b/>
        </w:rPr>
        <w:t>E. 2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3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