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5A_954/2025 vom 11. Mai 2026</w:t>
      </w:r>
    </w:p>
    <w:p>
      <w:r>
        <w:t>Bundesgericht, 2026-05-11, FR</w:t>
      </w:r>
    </w:p>
    <w:p>
      <w:r>
        <w:rPr>
          <w:b/>
        </w:rPr>
        <w:t xml:space="preserve">Quelle: </w:t>
      </w:r>
      <w:r>
        <w:t>https://mcp.opencaselaw.ch/entscheid/bger_5A_954_2025</w:t>
      </w:r>
    </w:p>
    <w:p>
      <w:r>
        <w:t>FR: TF 5A_954/2025 du 11 mai 2026</w:t>
      </w:r>
    </w:p>
    <w:p>
      <w:r>
        <w:t>IT: TF 5A_954/2025 del 11 maggio 2026</w:t>
      </w:r>
    </w:p>
    <w:p>
      <w:pPr>
        <w:pStyle w:val="Heading2"/>
      </w:pPr>
      <w:r>
        <w:t>Erwägungen</w:t>
      </w:r>
    </w:p>
    <w:p>
      <w:r>
        <w:rPr>
          <w:b/>
        </w:rPr>
        <w:t>E. 1.1</w:t>
      </w:r>
    </w:p>
    <w:p>
      <w:r>
        <w:t>Déposé en temps utile (art. 45 al. 1 et 100 al. 1 LTF) et dans la forme légale ( art. 42 al. 1 LTF ) par une partie qui a qualité pour recourir ( art. 76 al. 1 let. a et b LTF ), le recours est dirigé contre une décision de mesures protectrices de l'union conjugale, à savoir une décision finale ( art. 90 LTF ; ATF 133 III 393 consid. 4), rendue sur recours par une autorité supérieure statuant en dernière instance cantonale ( art. 75 al. 1 et 2 LTF ), dans une affaire civile ( art. 72 al. 1 LTF ; ATF 133 III 393 consid. 2) de nature pécuniaire, dont la valeur litigieuse requise est atteinte (art. 51 al. 1 let. a, 51 al. 4 et 74 al. 1 let. b LTF). Le recours est donc en principe recevable au regard des dispositions qui précèdent.</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148 I 160 consid. 1.6; 141 II 113 consid. 1.7) et supposent de surcroît l'existence d'un intérêt digne de protection à la constatation immédiate de la situation de droit (parmi plusieurs: arrêts 5A_1049/2025 du 26 février 2026 consid. 6).</w:t>
      </w:r>
    </w:p>
    <w:p>
      <w:r>
        <w:t>En l'espèce, en tant que le recourant conclut à ce qu'il soit dit qu'il n'y a pas lieu de lui imputer un revenu hypothétique, il formule une conclusion constatatoire irrecevable. Il ressort de surcroît des considérations de l'arrêt cantonal - non valablement contestées par le recourant - que le revenu arrêté par l'autorité de première instance a été considéré comme un revenu effectif et non comme un revenu hypothétique (cf.</w:t>
      </w:r>
    </w:p>
    <w:p>
      <w:r>
        <w:t>infra consid. 5.1).</w:t>
      </w:r>
    </w:p>
    <w:p>
      <w:r>
        <w:rPr>
          <w:b/>
        </w:rPr>
        <w:t>E. 2.1.1</w:t>
      </w:r>
    </w:p>
    <w:p>
      <w:r>
        <w:t>Comme la décision attaquée porte sur des mesures provisionnelles au sens de l' art. 98 LTF ( ATF 149 III 81 consid. 1.3; 134 III 667 consid. 1.1; 133 III 393 consid. 5.2),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(arrêts 5A_184/2024 du 22 janvier 2025 consid. 2.1; 5A_917/2023 du 20 novembre 2024 consid. 3.1 et les références). En d'autres termes, le recourant qui se plaint de la violation d'un droit fondamental ne peut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w:t>
      </w:r>
    </w:p>
    <w:p>
      <w:r>
        <w:t>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2.1.2</w:t>
      </w:r>
    </w:p>
    <w:p>
      <w:r>
        <w:t>Le recourant conclut au versement d'une contribution d'entretien en sa faveur, sans toutefois étayer cette conclusion ni s'en prendre à la motivation cantonale selon laquelle il ne l'avait déjà aucunement développée dans son mémoire d'appel. Faute de motivation suffisante, il n'y a dès lors pas lieu d'entrer en matière sur celle-ci.</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148 IV 39 consid. 2.3.5; 145 IV 154 consid. 1.1; 140 III 264 consid. 2.3).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2.3</w:t>
      </w:r>
    </w:p>
    <w:p>
      <w:r>
        <w:t>Selon l' art. 99 al. 1 LTF , aucun fait nouveau ni preuve nouvelle ne peut être présenté à moins de résulter de la décision de l'autorité précédente.</w:t>
      </w:r>
    </w:p>
    <w:p>
      <w:r>
        <w:t>En annexe à son écriture, le recourant produit un bordereau de six pièces. La procuration, l'arrêt cantonal entrepris et un suivi de recommandé sont manifestement recevables. Le tableau récapitulatif des recherches d'emploi du recourant de 2024 à 2025 ainsi qu'une décision pénale du 24 septembre 2025 sont irrecevables dès lors que le recourant ne soutient pas - ni</w:t>
      </w:r>
    </w:p>
    <w:p>
      <w:r>
        <w:t>a fortiori ne démontre - que les faits qu'ils sont censés constater résulteraient de la décision attaquée au sens de l' art. 99 al. 1 LTF . Finalement, la recevabilité du document du SECO produit par le recourant peut demeurer indécise, les faits que cette pièce est censée attester n'étant de toute manière pas susceptibles d'influer sur l'issue du litige (cf.</w:t>
      </w:r>
    </w:p>
    <w:p>
      <w:r>
        <w:t>infra consid. 4 et 5).</w:t>
      </w:r>
    </w:p>
    <w:p>
      <w:r>
        <w:rPr>
          <w:b/>
        </w:rPr>
        <w:t>E. 3</w:t>
      </w:r>
    </w:p>
    <w:p>
      <w:r>
        <w:t>Dans le cadre de l'établissement des faits, le recourant se plaint de la violation de son droit d'être entendu ( art. 29 al. 2 Cst. ) au sens d'une violation du droit à la preuve et d'une appréciation anticipée arbitraire des preuves.</w:t>
      </w:r>
    </w:p>
    <w:p>
      <w:r>
        <w:t>Le recourant fait également valoir la violation des maximes d'office et inquisitoire illimitée ( art. 296 al. 1 et 3 CPC ). Dès lors toutefois que cette violation n'est pas valablement invoquée à l'aune d'un droit constitutionnel au sens de l' art. 98 LTF , le grief - de surcroît non motivé - est d'emblée irrecevable.</w:t>
      </w:r>
    </w:p>
    <w:p>
      <w:r>
        <w:rPr>
          <w:b/>
        </w:rPr>
        <w:t>E. 3.1.1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et les références;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précité loc. cit.; 140 I 285 consid. 6.3.1). Le refus d'instruire ne viole ainsi le droit d'être entendu des parties que si l'appréciation anticipée de la pertinence du moyen de preuve offert, à laquelle le juge a procédé, est entachée d'arbitraire ( ATF 147 IV 534 consid. 2.5.1; 144 II 427 consid. 3.1.3; parmi d'autres: arrêt 5A_398/2025 du 13 octobre 2025 consid. 6.1.1).</w:t>
      </w:r>
    </w:p>
    <w:p>
      <w:r>
        <w:rPr>
          <w:b/>
        </w:rPr>
        <w:t>E. 3.1.2</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parmi plusieurs: arrêts 5A_753/2024 du 5 février 2025 consid. 3.2; 5A_939/2023 du 8 juillet 2024 consid. 3.1).</w:t>
      </w:r>
    </w:p>
    <w:p>
      <w:r>
        <w:rPr>
          <w:b/>
        </w:rPr>
        <w:t>E. 3.2.1</w:t>
      </w:r>
    </w:p>
    <w:p>
      <w:r>
        <w:t>Le recourant soutient que, lors de deux audiences tenues les 1er novembre 2023 et 10 juin 2024, il lui aurait été refusé de poser des questions à l'intimée, notamment au sujet de l'arrêt maladie de celle-ci. Il affirme que les questions concernées étaient directement liées aux enjeux du litige et qu'elles visaient à clarifier des éléments déterminants, à savoir la véritable cause des problèmes de santé de l'intéressée, qui serait selon lui des facteurs professionnels et non des violences domestiques. Selon le recourant, ce point présentait une incidence directe sur l'appréciation de la crédibilité de l'intimée et, partant, sur l'évaluation globale du contexte conjugal et des charges contributives.</w:t>
      </w:r>
    </w:p>
    <w:p>
      <w:r>
        <w:rPr>
          <w:b/>
        </w:rPr>
        <w:t>E. 3.2.2</w:t>
      </w:r>
    </w:p>
    <w:p>
      <w:r>
        <w:t>À cet égard, la cour cantonale a indiqué que rien au dossier ne permettait de considérer que les réponses aux questions que l'époux souhaitait poser à l'épouse en lien avec les motifs à l'origine de son arrêt de travail - questions que l'intéressé ne formulait du reste pas en appel - seraient susceptibles d'avoir une incidence sur la problématique des contributions d'entretien, ce que l'époux n'alléguait au demeurant pas. La juridiction précédente a donc considéré que les questions concernées n'étaient pas pertinentes et que le refus de l'autorité de première instance d'y donner suite ne constituait pas une violation du droit d'être entendu de l'époux.</w:t>
      </w:r>
    </w:p>
    <w:p>
      <w:r>
        <w:rPr>
          <w:b/>
        </w:rPr>
        <w:t>E. 3.2.3</w:t>
      </w:r>
    </w:p>
    <w:p>
      <w:r>
        <w:t>Il ressort de ce qui précède que la juridiction cantonale a non seulement relevé que le recourant n'avait pas mentionné les questions litigieuses qu'il avait souhaité poser à l'épouse, mais qu'elle lui a également fait grief de ne pas avoir expliqué en quoi les réponses aux questions concernées auraient pu amener l'autorité de première instance à modifier son opinion. Or le recourant ne critique nullement ces constatations et se contente, de manière purement appellatoire, d'expliquer en quoi, selon lui, les questions litigieuses - dont il persiste à ne pas fait état - auraient été pertinentes. Il se réfère en outre "par la procédure" à un document "internal interview" du mois de juin 2021, dont on ignore toutefois si et quand il a été produit et, surtout, s'il l'a valablement été. Ce faisant, le recourant ne s'en prend pas de manière claire et détaillée à la motivation cantonale, de sorte que sa critique est irrecevable.</w:t>
      </w:r>
    </w:p>
    <w:p>
      <w:r>
        <w:rPr>
          <w:b/>
        </w:rPr>
        <w:t>E. 3.3.1</w:t>
      </w:r>
    </w:p>
    <w:p>
      <w:r>
        <w:t>Toujours sous couvert d'une violation de son droit d'être entendu, le recourant reproche à l'autorité cantonale d'avoir écarté la requête en faits nouveaux et conclusions nouvelles qu'il avait déposée à l'audience de comparution personnelle des parties du 10 juin 2024. Il soutient que cette écriture portait sur des faits nouveaux déterminants pour l'issue du litige et qu'elle ne pouvait être assimilée à une plaidoirie écrite. Le recourant affirme qu'il aurait ainsi été privé d'un moyen légitime de faire valoir ses arguments et d'assurer une défense complète, et que cela aurait empêché l'autorité cantonale d'examiner des éléments susceptibles d'influencer la décision finale.</w:t>
      </w:r>
    </w:p>
    <w:p>
      <w:r>
        <w:rPr>
          <w:b/>
        </w:rPr>
        <w:t>E. 3.3.2</w:t>
      </w:r>
    </w:p>
    <w:p>
      <w:r>
        <w:t>La juridiction cantonale a considéré que l'époux reprochait en vain au premier juge d'avoir violé son droit d'être entendu en écartant la requête de faits nouveaux et conclusions nouvelles qu'il avait déposée lors de l'audience du 10 juin 2024. Elle a indiqué que l'autorité de première instance, saisie d'une cause régie par la procédure sommaire, était en droit de choisir une procédure orale plutôt qu'écrite et que, dans ce cadre, l'époux avait eu la possibilité de présenter ses arguments lors de l'une des trois audiences tenues par le tribunal, ce qu'il n'avait toutefois pas fait. Elle a ajouté que, en tout état de cause, si l'époux affirmait que ladite écriture portait sur des faits nouveaux déterminants pour l'issue du litige, il n'alléguait ni ne rendait vraisemblables les faits concernés, ni n'avait pris la peine de s'en prévaloir dans le cadre de la procédure d'appel, ce qu'il aurait pourtant aisément pu faire. L'autorité cantonale a encore estimé, pour le surplus, que c'était à tort que l'époux reprochait au premier juge d'avoir écarté son écriture s'agissant des conclusions qu'elle contenait, dès lors que la recevabilité de ces dernières avait au contraire été admise.</w:t>
      </w:r>
    </w:p>
    <w:p>
      <w:r>
        <w:rPr>
          <w:b/>
        </w:rPr>
        <w:t>E. 3.3.3</w:t>
      </w:r>
    </w:p>
    <w:p>
      <w:r>
        <w:t>À nouveau, le recourant ne s'en prend pas à la motivation cantonale pertinente, à savoir qu'il n'avait ni allégué ni rendu vraisemblables les faits concernés, ni n'avait pris la peine de s'en prévaloir dans le cadre de la procédure de deuxième instance. L'intéressé ne mentionne en outre toujours pas quels faits seraient en cause et se limite à affirmer de manière péremptoire que ceux-ci auraient été déterminants. Il s'ensuit que, faute de motivation suffisante, sa critique est irrecevable.</w:t>
      </w:r>
    </w:p>
    <w:p>
      <w:r>
        <w:rPr>
          <w:b/>
        </w:rPr>
        <w:t>E. 4</w:t>
      </w:r>
    </w:p>
    <w:p>
      <w:r>
        <w:t>Le recourant se plaint de la constatation inexacte de plusieurs faits et de l'interdiction de l'arbitraire ( art. 9 Cst. ).</w:t>
      </w:r>
    </w:p>
    <w:p>
      <w:r>
        <w:t>Il soulève principalement des éléments relatifs à sa situation professionnelle, à ses recherches d'emploi, à ses ressources, à son train de vie, aux budgets retenus dans l'arrêt entrepris, à son "revenu hypothétique" et son incapacité de travail, ainsi qu'à une décision en matière pénale rendue le 24 septembre 2025.</w:t>
      </w:r>
    </w:p>
    <w:p>
      <w:r>
        <w:t>Compte tenu toutefois du sort réservé aux griefs de droit matériel soulevés par le recourant (cf.</w:t>
      </w:r>
    </w:p>
    <w:p>
      <w:r>
        <w:t>infra consid. 5), il n'y a pas lieu d'examiner les critiques qu'il formule en relation avec l'établissement prétendument arbitraire des faits et qui s'appuient au demeurant sur un argumentaire largement appellatoire.</w:t>
      </w:r>
    </w:p>
    <w:p>
      <w:r>
        <w:rPr>
          <w:b/>
        </w:rPr>
        <w:t>E. 5.1</w:t>
      </w:r>
    </w:p>
    <w:p>
      <w:r>
        <w:t>Sous l'angle du droit matériel, le recourant se plaint, en titre de son grief, de la violation des art. 176, 276 et 285 CC s'agissant des contributions d'entretien et du "revenu hypothétique" retenus.</w:t>
      </w:r>
    </w:p>
    <w:p>
      <w:r>
        <w:t>En rapport avec la violation de droits constitutionnels, le recourant soutient, sous l'angle de l'imputation d'un revenu hypothétique, qu'aucune preuve de la possibilité effective, concrète et réaliste d'un emploi n'aurait été apportée, en violation de l' art. 9 Cst. Il fait par ailleurs valoir que l'autorité cantonale aurait arbitrairement apprécié les faits en ne tenant pas compte d'un élément selon lui déterminant, à savoir que la garde alternée exercée à parts égales réduirait objectivement sa disponibilité pour retrouver un emploi à plein temps, puisqu'il assumerait pleinement les besoins ordinaires des enfants pendant ses périodes de garde. Cela étant, comme on l'a vu précédemment, il ressort de l'arrêt cantonal que l'autorité de première instance n'a pas imputé un revenu au recourant sur la base d'une activité fictive, mais qu'elle a estimé qu'il exerçait, de manière effective, une activité professionnelle dissimulée; la juridiction cantonale a en outre considéré que ce n'était pas un revenu hypothétique qui avait été retenu par l'autorité de première instance. L'intéressé ne s'en prend toutefois pas de manière motivée à cette constatation quand bien même, dans son recours, il fait grief à la cour cantonale d'avoir interprété plusieurs éléments comme la preuve d'un emploi effectif et rémunéré. A cela s'ajoute que le recourant ne conteste pas non plus valablement la motivation cantonale fournie quant au revenu retenu, à savoir qu'il n'avait pas critiqué de manière motivée le raisonnement de l'autorité de première instance à cet égard. Il s'ensuit que les deux critiques constitutionnelles soulevées en rapport avec l'imputation d'un revenu hypothétique sont vaines.</w:t>
      </w:r>
    </w:p>
    <w:p>
      <w:r>
        <w:t>Au demeurant, la seule référence à l' art. 9 Cst. , en fin d'argumentaire, ne satisfait pas au principe d'allégation. Le recourant ne s'en prend en effet pas de manière claire et étayée à la motivation cantonale mais se limite à opposer sa propre appréciation juridique à celle de l'autorité précédente, ce qui est impropre à fonder un grief recevable dans un recours soumis à l' art. 98 LTF .</w:t>
      </w:r>
    </w:p>
    <w:p>
      <w:r>
        <w:t>Le moyen est, partant, irrecevable.</w:t>
      </w:r>
    </w:p>
    <w:p>
      <w:r>
        <w:rPr>
          <w:b/>
        </w:rPr>
        <w:t>E. 5.2</w:t>
      </w:r>
    </w:p>
    <w:p>
      <w:r>
        <w:t>Le recourant invoque la violation de l' art. 12 Cst. , qui porte sur le "droit d'obtenir de l'aide dans des situations de détresse". Il soutient en substance que le fait de lui imposer une charge financière manifestement disproportionnée au regard de ses capacités réelles et de sa situation économique conduirait inévitablement à un "appauvrissement relatif" contraire à la garantie du minimum vital et à la dignité humaine.</w:t>
      </w:r>
    </w:p>
    <w:p>
      <w:r>
        <w:t>La violation de l' art. 12 Cst. ne peut en l'espèce pas être invoquée comme telle par le recourant, dès lors que cette disposition ne régit pas l'obligation d'entretien en droit de la famille, mais la relation entre le citoyen dans le besoin et l'État ( ATF 135 III 66 consid. 5; arrêt 5A_301/2021 du 21 juin 2021 consid. 4.2). Le grief soulevé ne revêt ainsi pas une portée autonome permettant de revoir librement le calcul des contributions d'entretien opéré par l'autorité cantonale et il se confond avec le principe selon lequel l'obligation d'entretien trouve sa limite dans la capacité contributive du débirentier, le minimum vital de celui-ci devant être préservé (cf. ATF 140 III 337 consid. 4.3; 137 III 59 consid. 4.2.1). Or le recourant ne démontre pas valablement, selon les exigences accrues de motivation applicables aux griefs constitutionnels (cf.</w:t>
      </w:r>
    </w:p>
    <w:p>
      <w:r>
        <w:t>supra consid. 2.1.1), en quoi la contribution arrêtée porterait atteinte à son minimum vital.</w:t>
      </w:r>
    </w:p>
    <w:p>
      <w:r>
        <w:t>Il s'ensuit que le grief tiré de l' art. 12 Cst. est irrecevable.</w:t>
      </w:r>
    </w:p>
    <w:p>
      <w:r>
        <w:rPr>
          <w:b/>
        </w:rPr>
        <w:t>E. 6</w:t>
      </w:r>
    </w:p>
    <w:p>
      <w:r>
        <w:t>En définitive, le recours est irrecevable. Le recours étant d'emblée voué à l'échec, la requête d'assistance judiciaire du recourant ne saurait être agréée ( art. 64 al. 1 LTF ). Les frais judiciaires sont mis à la charge du recourant, qui succombe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