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5A_954/2018 vom 26. November 2018</w:t>
      </w:r>
    </w:p>
    <w:p>
      <w:r>
        <w:t>Bundesgericht, 2018-11-26, FR</w:t>
      </w:r>
    </w:p>
    <w:p>
      <w:r>
        <w:rPr>
          <w:b/>
        </w:rPr>
        <w:t xml:space="preserve">Quelle: </w:t>
      </w:r>
      <w:r>
        <w:t>https://mcp.opencaselaw.ch/entscheid/bger_5A_954_2018</w:t>
      </w:r>
    </w:p>
    <w:p>
      <w:r>
        <w:t>FR: TF 5A_954/2018 du 26 novembre 2018</w:t>
      </w:r>
    </w:p>
    <w:p>
      <w:r>
        <w:t>IT: TF 5A_954/2018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3 septembre 2018, l'Office des poursuites de la Glâne a fixé à 800 fr. la quotité mensuelle saisissable du revenu de A.________ (</w:t>
      </w:r>
    </w:p>
    <w:p>
      <w:r>
        <w:t>débiteur ). Statuant le 25 octobre 2018, la Chambre des poursuites et faillites du Tribunal cantonal de l'Etat de Fribourg a rejeté la plainte formée par le prénommé et confirmé le procès-verbal de saisie contesté.</w:t>
      </w:r>
    </w:p>
    <w:p>
      <w:r>
        <w:rPr>
          <w:b/>
        </w:rPr>
        <w:t>E. 2</w:t>
      </w:r>
    </w:p>
    <w:p>
      <w:r>
        <w:t>Par écriture du 18 novembre 2018, mais déposée directement auprès du Tribunal fédéral le lendemain, le débiteur interjette un recours au Tribunal fédéral contre l'arrêt cantonal. Il fait valoir qu'il "[se]</w:t>
      </w:r>
    </w:p>
    <w:p>
      <w:r>
        <w:t>retrouve insaisissable pour le moment " et sollicite "</w:t>
      </w:r>
    </w:p>
    <w:p>
      <w:r>
        <w:t>une forme d'aide judiciaire ", faute de pouvoir assumer les frais.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Comme l'indique par ailleurs correctement l'arrêt attaqué ( art. 112 al. 1 let . d LTF), le délai de recours est de dix jours contre les décisions d'une autorité cantonale de surveillance en matière de poursuite pour dettes et de faillite ( art. 100 al. 2 let. a LTF ). Le recourant affirme avoir observé ce délai, l'arrêt entrepris lui ayant été "</w:t>
      </w:r>
    </w:p>
    <w:p>
      <w:r>
        <w:t>notifié le 14 novembre 2018 par courrier A ".</w:t>
      </w:r>
    </w:p>
    <w:p>
      <w:r>
        <w:t>Cette assertion est manifestement erronée. En réalité, il ressort d'une lettre de l'autorité cantonale du 12 novembre 2018 que l'acte destiné à l'intéressé n'a pas été retiré et a été retourné au Tribunal cantonal, de telle sorte qu'il est "</w:t>
      </w:r>
    </w:p>
    <w:p>
      <w:r>
        <w:t>réputé notifié à l'expiration d'un délai de sept jours à compter de l'échec de la remise ". Il résulte du suivi des envois de la Poste que le recourant a été "</w:t>
      </w:r>
    </w:p>
    <w:p>
      <w:r>
        <w:t>avisé pour retrait " le</w:t>
      </w:r>
    </w:p>
    <w:p>
      <w:r>
        <w:t>30 octobre 2018 , le délai de garde expirant le</w:t>
      </w:r>
    </w:p>
    <w:p>
      <w:r>
        <w:rPr>
          <w:b/>
        </w:rPr>
        <w:t>E. 6</w:t>
      </w:r>
    </w:p>
    <w:p>
      <w:r>
        <w:t>novembre 2018 ; ce dernier jour étant ainsi pertinent pour la computation du délai, la présente écriture, déposée le</w:t>
      </w:r>
    </w:p>
    <w:p>
      <w:r>
        <w:t>19 novembre 2018 , apparaît tardive ( art. 44 al. 2 LTF ; ATF 139 IV 228 consid. 1.1 et les arrêts cités).</w:t>
      </w:r>
    </w:p>
    <w:p>
      <w:r>
        <w:t>4.</w:t>
      </w:r>
    </w:p>
    <w:p>
      <w:r>
        <w:t>Vu ce qui précède, le recours doit être déclaré irrecevable par voie de procédure simplifiée ( art. 108 al. 1 let. a LTF ). Comme les conclusions du recourant étaient vouées d'emblée à l'échec, il se justifie de rejeter sa requête d'assistance judiciaire ( art. 64 al. 1 LTF ), ce qui entraîne sa condamnation aux frais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