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953/2022 vom 12. Dezember 2022</w:t>
      </w:r>
    </w:p>
    <w:p>
      <w:r>
        <w:t>Bundesgericht, 2022-12-12, DE</w:t>
      </w:r>
    </w:p>
    <w:p>
      <w:r>
        <w:rPr>
          <w:b/>
        </w:rPr>
        <w:t xml:space="preserve">Quelle: </w:t>
      </w:r>
      <w:r>
        <w:t>https://mcp.opencaselaw.ch/entscheid/bger_5A_953_2022</w:t>
      </w:r>
    </w:p>
    <w:p>
      <w:r>
        <w:t>FR: TF 5A 953/2022 du 12 décembre 2022</w:t>
      </w:r>
    </w:p>
    <w:p>
      <w:r>
        <w:t>IT: TF 5A 953/2022 del 12 dicembre 2022</w:t>
      </w:r>
    </w:p>
    <w:p>
      <w:pPr>
        <w:pStyle w:val="Heading2"/>
      </w:pPr>
      <w:r>
        <w:t>Regeste</w:t>
      </w:r>
    </w:p>
    <w:p>
      <w:r>
        <w:t>Konkurseröffnung | Schuldbetreibungs- und Konkursrecht</w:t>
      </w:r>
    </w:p>
    <w:p>
      <w:pPr>
        <w:pStyle w:val="Heading2"/>
      </w:pPr>
      <w:r>
        <w:t>Erwägungen</w:t>
      </w:r>
    </w:p>
    <w:p>
      <w:r>
        <w:rPr>
          <w:b/>
        </w:rPr>
        <w:t>E. 1</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Das Obergericht hat sich zur Zahlungsfähigkeit im Sinn von Art. 174 Abs. 2 SchKG geäussert und festgehalten, dass der Beschwerdeführer die betriebene Forderung zwar getilgt, aber einen langen Betreibungsregisterauszug und unbezahlte Forderungen von mehr als Fr. 50'000.-- habe. Zu diesen äussere er sich nicht und er lege auch nicht dar, inwiefern er über genügend abrufbare Guthaben oder Vermögenswerte zur Begleichung verfüge. Aus der Steuerveranlagung ergebe sich, dass er nur ein geringes Einkommen und als einzig steuerbaren Vermögenswert eine Liegenschaft mit einem Schätzwert von Fr. 1'456'000.-- habe, die aber bereits mit Fr. 1'307'600.-- belastet sei. Die Zahlungsfähigkeit sei nicht glaubhaft gemacht.</w:t>
      </w:r>
    </w:p>
    <w:p>
      <w:r>
        <w:rPr>
          <w:b/>
        </w:rPr>
        <w:t>E. 3</w:t>
      </w:r>
    </w:p>
    <w:p>
      <w:r>
        <w:t>Die Beschwerde ist über weite Strecken polemisch formuliert; insbesondere wird dem Obergericht in mannigfacher Hinsicht Betrug vorgeworfen. Die Beschwerde ist insgesamt weitschweifig und es sind zahlreiche Dokumente hineinkopiert. Soweit überhaupt ein sinngemässer Bezug auf die Erwägungen des angefochtenen Entscheides auszumachen ist, bestreitet der Beschwerdeführer die bestehenden offenen Forderungen als unberechtigt und das Betreibungsregister als falsch; weiter macht er geltend, die Liegenschaft weise einen Verkehrswert von Fr. 2'300'000.-- bzw. Fr. 3'250'000.-- auf. Dabei handelt es sich um neue Vorbringen, welche unzulässig sind ( Art. 99 Abs. 1 BGG ). Die Erwägungen im angefochtenen Entscheid gehen dahin, dass der Beschwerdeführer im kantonalen Beschwerdeverfahren seine Zahlungsfähigkeit nicht oder jedenfalls ungenügend dargelegt habe. Inwiefern dies eine willkürliche Sachverhaltsfeststellung darstellen würde und inwiefern daraus rechtlich nicht haltbare Schlüsse gezogen worden wären, legt der Beschwerdeführer nicht dar.</w:t>
      </w:r>
    </w:p>
    <w:p>
      <w:r>
        <w:rPr>
          <w:b/>
        </w:rPr>
        <w:t>E. 4</w:t>
      </w:r>
    </w:p>
    <w:p>
      <w:r>
        <w:t>Nach dem Gesagten erweist sich die Beschwerde als offensichtlich nicht hinreichend begründet, weshalb auf sie im vereinfachten Verfahren nach Art. 108 Abs. 1 lit. b BGG nicht einzutreten ist.</w:t>
      </w:r>
    </w:p>
    <w:p>
      <w:r>
        <w:rPr>
          <w:b/>
        </w:rPr>
        <w:t>E. 5</w:t>
      </w:r>
    </w:p>
    <w:p>
      <w:r>
        <w:t>Mit dem sofortigen Entscheid in der Sache wird das Gesuch um aufschiebende Wirkung gegenstandslos.</w:t>
      </w:r>
    </w:p>
    <w:p>
      <w:r>
        <w:rPr>
          <w:b/>
        </w:rPr>
        <w:t>E. 6</w:t>
      </w:r>
    </w:p>
    <w:p>
      <w:r>
        <w:t>Die Gerichtskosten sind dem Beschwerdeführer aufzuerlegen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