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5A_953/2021 vom 20. April 2022</w:t>
      </w:r>
    </w:p>
    <w:p>
      <w:r>
        <w:t>Bundesgericht, 2022-04-20, FR</w:t>
      </w:r>
    </w:p>
    <w:p>
      <w:r>
        <w:rPr>
          <w:b/>
        </w:rPr>
        <w:t xml:space="preserve">Quelle: </w:t>
      </w:r>
      <w:r>
        <w:t>https://mcp.opencaselaw.ch/entscheid/bger_5A_953_2021</w:t>
      </w:r>
    </w:p>
    <w:p>
      <w:r>
        <w:t>FR: TF 5A_953/2021 du 20 avril 2022</w:t>
      </w:r>
    </w:p>
    <w:p>
      <w:r>
        <w:t>IT: TF 5A_953/2021 del 20 aprile 2022</w:t>
      </w:r>
    </w:p>
    <w:p>
      <w:pPr>
        <w:pStyle w:val="Heading2"/>
      </w:pPr>
      <w:r>
        <w:t>Erwägungen</w:t>
      </w:r>
    </w:p>
    <w:p>
      <w:r>
        <w:rPr>
          <w:b/>
        </w:rPr>
        <w:t>E. 1</w:t>
      </w:r>
    </w:p>
    <w:p>
      <w:r>
        <w:t>Le recours, de même que son complément, déposé lui aussi dans le délai ( art. 100 al. 1 LTF ), respectent les conditions légales de recevabilité (art. 72 al. 1; art. 74 al. 1 let. b avec l'art. 51 al. 1 let. a et al. 4; art. 75 al. 1 et 2; art. 76 al. 1 let. a et b et 90 LTF).</w:t>
      </w:r>
    </w:p>
    <w:p>
      <w:r>
        <w:rPr>
          <w:b/>
        </w:rPr>
        <w:t>E. 2.1</w:t>
      </w:r>
    </w:p>
    <w:p>
      <w:r>
        <w:t>La décision attaquée porte sur des mesures provisionnelles au sens de l' art. 98 LTF ( ATF 134 III 667 consid. 1.1; 133 III 393 consid. 5), en sorte que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142 III 364 consid. 2.4; 140 III 264 consid. 2.3; 139 II 404 consid. 10.1 et les arrêts cités).</w:t>
      </w:r>
    </w:p>
    <w:p>
      <w:r>
        <w:t>D'après la jurisprudence, 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recourante s'en prend au refus de lui attribuer la jouissance du logement conjugal, décision qui serait à son sens foncièrement choquante.</w:t>
      </w:r>
    </w:p>
    <w:p>
      <w:r>
        <w:rPr>
          <w:b/>
        </w:rPr>
        <w:t>E. 3.1</w:t>
      </w:r>
    </w:p>
    <w:p>
      <w:r>
        <w:t>Si les époux ne parviennent pas à s'entendre au sujet de la jouissance de l'habitation conjugale, l' art. 176 al. 1 ch. 2 CC prévoit que le juge l'attribue provisoirement à l'une des parties en faisant usage de son pouvoir d'appréciation. Il doit procéder à une pesée des intérêts en présence, de façon à prononcer la mesure la plus adéquate au regard des circonstances concrètes.</w:t>
      </w:r>
    </w:p>
    <w:p>
      <w:r>
        <w:t>En premier lieu, le juge doit examiner à quel époux le domicile conjugal est le plus utile (" grösserer Nutzen "). Ce critère conduit à attribuer le logement à celui des époux qui en tirera objectivement le plus grand bénéfice, vu ses besoins concrets.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 ATF 120 II 1 consid. 2c; arrêt 5A_524/2017 du 9 octobre 2017 consid. 6.1 et les nombreuses références citées; cf. arrêt 5A_768/2019 du 21 mars 2022 consid. 5.2).</w:t>
      </w:r>
    </w:p>
    <w:p>
      <w:r>
        <w:rPr>
          <w:b/>
        </w:rPr>
        <w:t>E. 3.2</w:t>
      </w:r>
    </w:p>
    <w:p>
      <w:r>
        <w:t>Tout en doutant du caractère " familial " du logement des parties - situé en région lémanique, alors que la recourante exerçait désormais son activité professionnelle à V.________ (Suisse alémanique) où elle disposait d'un appartement -, la juge déléguée a néanmoins laissé cette question indécise et a attribué la jouissance de la villa à l'intimé, auquel il était indiscutable qu'elle était plus utile. Celui-ci travaillait en effet à proximité, tandis que la recourante pouvait parfaitement déplacer son bureau et son installation informatique dans son logement de V.________, ne rendant nullement vraisemblable ne pouvoir faire du télétravail ailleurs que depuis le logement conjugal.</w:t>
      </w:r>
    </w:p>
    <w:p>
      <w:r>
        <w:rPr>
          <w:b/>
        </w:rPr>
        <w:t>E. 3.3</w:t>
      </w:r>
    </w:p>
    <w:p>
      <w:r>
        <w:t>L'argumentation que développe la recourante ne suffit pas à retenir l'arbitraire de ce raisonnement. Que son activité professionnelle (réseau et clientèle) soit en réalité concentrée dans la région lémanique, à laquelle elle serait de surcroît particulièrement attachée, ne permet manifestement pas d'expliquer les raisons pour lesquelles elle aurait pris à bail un appartement de 3,5 pièces à V.________, siège de son employeur, alors qu'elle travaillerait exclusivement à distance depuis la Suisse romande. Dans ces circonstances, ses allégations quant à la prétendue nécessité de s'y reloger et ses conséquences financières n'apparaissent pas décisives. Le critère affectif qu'elle entretiendrait également avec l'immeuble, outre qu'il est subsidiaire à celui de l'utilité qui vient d'être évoqué, ne ressort nullement de la décision entreprise, bien au contraire: le renvoi à la décision de première instance laisse penser que la recourante serait prête à le mettre en location. Quant à sa proposition d'indemnisation de la part de copropriété de l'intimé, elle intervient à l'évidence prématurément et ne nécessite aucunement d'être prise en considération en l'état.</w:t>
      </w:r>
    </w:p>
    <w:p>
      <w:r>
        <w:rPr>
          <w:b/>
        </w:rPr>
        <w:t>E. 4</w:t>
      </w:r>
    </w:p>
    <w:p>
      <w:r>
        <w:t>Le recourante se plaint également de la violation de son droit d'être entendue et de l'arbitraire dans l'appréciation des preuves en lien avec le refus de la mettre au bénéfice d'une contribution d'entretien.</w:t>
      </w:r>
    </w:p>
    <w:p>
      <w:r>
        <w:rPr>
          <w:b/>
        </w:rPr>
        <w:t>E. 4.1</w:t>
      </w:r>
    </w:p>
    <w:p>
      <w:r>
        <w:t>La juge déléguée a retenu que la recourante disposait d'un salaire net de 13'254 fr. 60 au minimum, auquel s'ajoutait la moitié des revenus de la fortune des parties, qui comprenait des propriétés immobilières ainsi que des titres pour environ 5 millions de francs. Faute de l'avoir renseignée sur les éventuels montants supplémentaires perçus en sus de son revenu (ainsi: treizième salaire ou bonus), son défaut de collaboration devait avoir pour conséquence de retenir qu'elle disposait d'un salaire suffisamment élevé pour couvrir la totalité de son budget, quel qu'il fût. Au surplus, le seul revenu indiqué suffisait à couvrir l'entretien allégué à hauteur de 13'105 fr. 25; à défaut, il appartenait à la recourante d'établir et de rendre vraisemblable avec davantage de précision ses revenus et ses charges, de même que ceux de l'intimé, dès lors que la maxime inquisitoire sociale était ici applicable.</w:t>
      </w:r>
    </w:p>
    <w:p>
      <w:r>
        <w:rPr>
          <w:b/>
        </w:rPr>
        <w:t>E. 4.2</w:t>
      </w:r>
    </w:p>
    <w:p>
      <w:r>
        <w:t>La recourante axe une grande partie de sa motivation sur le défaut de collaboration qui lui est imputé en lien avec l'absence de production de son contrat de travail, nécessaire pour établir les éventuels montants perçus en sus de son salaire fixe. Cette question peut cependant être laissée indécise en tant que la cour cantonale a également fondé sa décision sur une motivation subsidiaire, à savoir le fait que le revenu qu'alléguait la recourante suffisait à garantir l'entretien invoqué.</w:t>
      </w:r>
    </w:p>
    <w:p>
      <w:r>
        <w:rPr>
          <w:b/>
        </w:rPr>
        <w:t>E. 4.2.1</w:t>
      </w:r>
    </w:p>
    <w:p>
      <w:r>
        <w:t>A ce dernier égard, la recourante soulève d'abord la violation de son droit d'être entendue, reprochant à l'autorité cantonale de ne pas avoir instruit le budget de son époux; elle se plaint ensuite essentiellement du fait que la décision entreprise la réduirait à son minimum vital du droit de la famille, sans aucune participation à l'excédent, alors que son époux bénéficierait d'un disponible particulièrement confortable, tout en étant logé dans un logement de 380 m² qu'elle-même cofinancerait gracieusement. Cette divergence serait patente, criante et choquante, d'autant que sa situation financière avait nécessairement été impactée par la durée du mariage et la naissance de ses enfants.</w:t>
      </w:r>
    </w:p>
    <w:p>
      <w:r>
        <w:rPr>
          <w:b/>
        </w:rPr>
        <w:t>E. 4.2.2</w:t>
      </w:r>
    </w:p>
    <w:p>
      <w:r>
        <w:t>Cette dernière condition s'examine toutefois dans le contexte du droit à une contribution d'entretien post-divorce ( art. 125 CC ; ATF 137 III 385 consid. 3.1; arrêt 5A_912/2020 du 5 mai 2021 consid. 3 et les références citées); elle n'est donc d'aucune pertinence ici. La recourante ne prétend pas en revanche que son salaire net, qui, abstraction faite de ses bonus/treizième salaire éventuels, suffit actuellement à assurer la totalité des charges d'entretien qu'elle allègue, ne lui permettrait pas d'assurer le train de vie qu'elle menait durant la vie commune, sur lequel elle ne s'exprime nullement. Dans cette perspective, le refus de lui attribuer une contribution n'apparaît pas arbitraire et la situation financière de l'intimé, respectivement son caractère prétendument plus confortable, n'apparaissent pas déterminants. Le grief du droit d'être entendu invoqué dans ce dernier contexte est ainsi dépourvu d'objet.</w:t>
      </w:r>
    </w:p>
    <w:p>
      <w:r>
        <w:rPr>
          <w:b/>
        </w:rPr>
        <w:t>E. 5</w:t>
      </w:r>
    </w:p>
    <w:p>
      <w:r>
        <w:t>Le recours est rejeté, à la charge de la recourante ( art. 66 al. 1 LTF ); celle-ci versera également des dépens à l'intimé qui a conclu avec succès au rejet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