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953/2019 vom 7. Dezember 2020</w:t>
      </w:r>
    </w:p>
    <w:p>
      <w:r>
        <w:t>Bundesgericht, 2020-12-07, DE</w:t>
      </w:r>
    </w:p>
    <w:p>
      <w:r>
        <w:rPr>
          <w:b/>
        </w:rPr>
        <w:t xml:space="preserve">Quelle: </w:t>
      </w:r>
      <w:r>
        <w:t>https://mcp.opencaselaw.ch/entscheid/bger_5A_953_2019</w:t>
      </w:r>
    </w:p>
    <w:p>
      <w:r>
        <w:t>FR: TF 5A 953/2019 du 7 décembre 2020</w:t>
      </w:r>
    </w:p>
    <w:p>
      <w:r>
        <w:t>IT: TF 5A 953/2019 del 7 dicembre 2020</w:t>
      </w:r>
    </w:p>
    <w:p>
      <w:pPr>
        <w:pStyle w:val="Heading2"/>
      </w:pPr>
      <w:r>
        <w:t>Regeste</w:t>
      </w:r>
    </w:p>
    <w:p>
      <w:r>
        <w:t>Zahlungsbefehl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Aus der vorinstanzlichen Begründung geht in genügender Weise hervor, weshalb der Antrag auf eine weitere Sistierung des Verfahrens abgelehnt und aus welchen Gründen keine Aufsichtsanzeige eingereicht wurde. Die Vorinstanz hat die Vorwürfe des Beschwerdeführers - entgegen seiner Darstellung - durchaus zur Kenntnis genommen. Indes hat sie diese als nicht relevant erachtet. Eine Verletzung von Art. 29 Abs. 2 BV bzw. der Begründungspflicht ( BGE 145 II 324 E. 6.1) liegt daher nicht vor.</w:t>
      </w:r>
    </w:p>
    <w:p>
      <w:r>
        <w:rPr>
          <w:b/>
        </w:rPr>
        <w:t>E. 2.2</w:t>
      </w:r>
    </w:p>
    <w:p>
      <w:r>
        <w:t>Die Vorinstanz verneinte in ihrem Beschluss die Zweckmässigkeit einer Sistierung der Beschwerde gemäss Art. 126 Abs. 1 ZPO . Sie liess die Frage der Zulässigkeit der strittigen Mandatierung seitens des Beschwerdegegners offen. Der Entscheid der Aufsichtsbehörde müsse nicht abgewartet werden, da ein solcher für das vorliegende Verfahren nicht von Bedeutung sei. In diesem Zusammenhang betonte die Vorinstanz, dass die Rechtsanwälte des Beschwerdegegners zwar ins Rubrum des Entscheides aufgenommen, indes nicht zur Vernehmlassung eingeladen werden. Mit der Zustellung des Entscheides werden sie keine Kenntnis von Umständen erhalten, die ihnen nicht schon bekannt seien.</w:t>
      </w:r>
    </w:p>
    <w:p>
      <w:r>
        <w:rPr>
          <w:b/>
        </w:rPr>
        <w:t>E. 2.3</w:t>
      </w:r>
    </w:p>
    <w:p>
      <w:r>
        <w:t>Zwar verlangt der Beschwerdeführer vom Bundesgericht unter anderem auch die Aufhebung des Beschlusses. Indes lässt sich seiner Beschwerdeschrift keine Begründung entnehmen, inwiefern die Ablehnung seines Sistierungsgesuchs durch die Vorinstanz eine Verletzung von Bundesrecht darstellen sollte. Auf diesen Antrag ist nicht einzutreten.</w:t>
      </w:r>
    </w:p>
    <w:p>
      <w:r>
        <w:rPr>
          <w:b/>
        </w:rPr>
        <w:t>E. 3</w:t>
      </w:r>
    </w:p>
    <w:p>
      <w:r>
        <w:t>I n der Sache besteht nach Ansicht der Vorinstanz kein Anlass, den Zahlungsbefehl in der Betreibung Nr. kkk des Betreibungsamtes V.________ aufzuheben. Die Beanstandungen des Beschwerdeführers seien pauschal und ungenügend begründet. Dies gelte insbesondere für den Vorwurf, dass aufgrund des Zahlungsbefehls für ihn nicht erkennbar sei, wofür er betrieben werde. Demgegenüber besteht der Beschwerdeführer darauf, dass der Zahlungsbefehl an wesentlichen Mängeln leide und daher nichtig sei.</w:t>
      </w:r>
    </w:p>
    <w:p>
      <w:r>
        <w:rPr>
          <w:b/>
        </w:rPr>
        <w:t>E. 4</w:t>
      </w:r>
    </w:p>
    <w:p>
      <w:r>
        <w:t>Anlass der Beschwerde bildet die Gültigkeit eines Zahlungsbefehls in einer Betreibung, die auf Geldzahlung lautet. Strittig ist insbesondere die Umschreibung der Betreibungsforderung.</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E.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kkk unter der Rubrik "Forderungsurkunde mit Datum oder Angabe des Forderungsgrundes" folgende Angaben: "Rechtskr. Entscheid des Bundesgerichtes vom 18.9.2018 (Verf. Nr. 2C_799/2017) betr. Staats- und Gemeindesteuern (Nachsteuern 2005 bis 2009), Nachsteuerverfügung vom 27.1.2016 betr. Staats- und Gemeindesteuern (Nachst. 2005 bis 2009) und Steuerrechnung vom 27.1.2016 betreffend die Staats- und Gemeindesteuern (Nachsteuern 2005 bis 2009) Prosequierung Arrest Nr. jjj. CHF 80'310'032-85 Zins 4.5 % seit 01.03.2016" Die Vorinstanz stellte dazu fest, der Beschwerdeführer mache zwar geltend, dass er aufgrund der Angaben auf dem Zahlungsbefehl nicht wisse, wofür er betrieben werde. Dabei wiederhole er indes einzig seine bisherigen Vorbringen, ohne sich mit den diesbezüglichen Ausführungen der Erstinstanz auseinander zu setzen. Auch der Hinweis auf die Gutheissung seiner Beschwerde durch das Bundesgericht sei nicht zielführend. Dabei handle es sich einzig um die Steuerschuld seiner Ehefrau und die Verfahrenskosten (Urteile 2C_799/2017 und 2C_800/2017 vom 18. September 2018). Der Zahlungsbefehl würde selbst dann nicht aufgehoben oder nichtig erklärt, falls die Forderungsurkunde fehlerhaft oder nicht rechtskräftig wäre, da der Bestand der Forderung im vorliegenden Verfahren nicht überprüft werden könne.</w:t>
      </w:r>
    </w:p>
    <w:p>
      <w:r>
        <w:rPr>
          <w:b/>
        </w:rPr>
        <w:t>E. 4.2.2</w:t>
      </w:r>
    </w:p>
    <w:p>
      <w:r>
        <w:t>Nach Ansicht des Beschwerdeführers ist es offensichtlich, dass der Zahlungsbefehl Nr. kkk an wesentlichen Mängeln leidet und daher nichtig erklärt bzw. zumindest aufgehoben werden muss. Zur Begründung führt er insbesondere aus, er könne aufgrund der Vielzahl der Forderungsurkunden und dem zugleich exorbitanten Betrag von über Fr. 80'000'000.-- nicht wissen, wofür er im Einzelnen betrieben werde. Mit diesem Vorbringen geht der Beschwerdeführer auf die vorinstanzlichen Erwägungen, wonach seine Kritik am erstinstanzlichen Entscheid aus bloss pauschalen Vorwürfen bestehe, nicht ein. Als beinahe mutwillig erscheint zudem seine Behauptung, aufgrund des Zahlungsbefehls nicht erkennen zu können, wofür er vom Beschwerdegegner betrieben werde. Immerhin ergibt sich aus dem Zahlungsbefehl klar, für welche Steuern (Kanton und Gemeinde) und welche Steuerperioden (2005 bis 2009) er aufgrund von rechtskräftigen Einschätzungen und Veranlagungen betrieben wird. Aufgrund dieser Angaben war es dem Beschwerdeführer ohne Weiteres möglich, sich über den Anlass der gegen ihn eröffneten Betreibung ein Bild zu machen und seine Rechte zu wahren. Nicht nachvollziehbar ist schliesslich, weshalb der angefochtene Zahlungsbefehl fehlerhaft sein sollte, da der Beschwerdegegner durch eine Anwaltskanzlei vertreten werde. Hier fehlt es an jeglicher Begründung.</w:t>
      </w:r>
    </w:p>
    <w:p>
      <w:r>
        <w:rPr>
          <w:b/>
        </w:rPr>
        <w:t>E. 5</w:t>
      </w:r>
    </w:p>
    <w:p>
      <w:r>
        <w:t>Nach dem Gesagten ist der Beschwerde insgesamt kein Erfolg beschieden, soweit darauf überhaupt einzutreten ist. Ausgangsgemäss werden die Gerichtskosten dem Beschwerdeführer auferlegt ( Art. 66 Abs. 1 BGG ). Dem Beschwerdegegner als Gemeinwesen steht für die Stellungnahme zum Gesuch um Erlass vorsorglicher Massnahmen und um Sistierung der Beschwerde keine Parteientschädigung zu ( Art. 68 Abs. 3 BGG ; SEILER, in: Bundesgerichtsgesetz [BGG], 2. Aufl. 2015, N. 25 zu Art. 68). Demnach 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