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5A_950/2021 vom 14. April 2022</w:t>
      </w:r>
    </w:p>
    <w:p>
      <w:r>
        <w:t>Bundesgericht, 2022-04-14, DE</w:t>
      </w:r>
    </w:p>
    <w:p>
      <w:r>
        <w:rPr>
          <w:b/>
        </w:rPr>
        <w:t xml:space="preserve">Quelle: </w:t>
      </w:r>
      <w:r>
        <w:t>https://mcp.opencaselaw.ch/entscheid/bger_5A_950_2021</w:t>
      </w:r>
    </w:p>
    <w:p>
      <w:r>
        <w:t>FR: TF 5A_950/2021 du 14 avril 2022</w:t>
      </w:r>
    </w:p>
    <w:p>
      <w:r>
        <w:t>IT: TF 5A_950/2021 del 14 aprile 2022</w:t>
      </w:r>
    </w:p>
    <w:p>
      <w:pPr>
        <w:pStyle w:val="Heading2"/>
      </w:pPr>
      <w:r>
        <w:t>Erwägungen</w:t>
      </w:r>
    </w:p>
    <w:p>
      <w:r>
        <w:rPr>
          <w:b/>
        </w:rPr>
        <w:t>E. 1</w:t>
      </w:r>
    </w:p>
    <w:p>
      <w:r>
        <w:t>Der angefochtene Entscheid wurde der Beschwerdeführerin am 19. Oktober 2021 zugestellt. Die 30-tägige Beschwerdefrist von Art. 100 Abs. 1 BGG begann damit am 20. Oktober 2021 zu laufen ( Art. 44 Abs. 1 BGG ) und endete am 18. November 2021.</w:t>
      </w:r>
    </w:p>
    <w:p>
      <w:r>
        <w:t>Bei einer elektronisch eingereichten Beschwerde ist für die Wahrung der Beschwerdefrist der Zeitpunkt massgebend, in dem die Quittung ausgestellt wird, die bestätigt, dass alle Schritte abgeschlossen sind, die auf der Seite der Partei für die Übermittlung notwendig sind ( Art. 48 Abs. 2 BGG ).</w:t>
      </w:r>
    </w:p>
    <w:p>
      <w:r>
        <w:t>Gemäss Abholquittung wurde die Beschwerde am 19. November 2021 eingereicht. Die Beschwerdeführerin hat innert (erstreckter) Frist nicht nachgewiesen, dass alle Schritte, die auf Seite der Partei für die Übermittlung notwendig sind, bereits am 18. November 2021 erfolgten bzw. hat sie sich diesbezüglich nicht vernehmen lassen. Die rechtzeitige Aufgabe der Beschwerde ist damit nicht erstellt und die Beschwerde verspätet.</w:t>
      </w:r>
    </w:p>
    <w:p>
      <w:r>
        <w:rPr>
          <w:b/>
        </w:rPr>
        <w:t>E. 2</w:t>
      </w:r>
    </w:p>
    <w:p>
      <w:r>
        <w:t>Nach dem Gesagten erweist sich die Beschwerde als offensichtlich unzulässig, weshalb auf sie nicht eingetreten werden kann und der Einzelrichter im vereinfachten Verfahren entscheidet ( Art. 108 Abs. 1 lit. a und Abs. 2 BGG ). Damit wird der Antrag der Beschwerdeführerin um Aufteilung in verschiedene Verfahren (sofern überhaupt zulässig) gegenstandslos.</w:t>
      </w:r>
    </w:p>
    <w:p>
      <w:r>
        <w:rPr>
          <w:b/>
        </w:rPr>
        <w:t>E. 3</w:t>
      </w:r>
    </w:p>
    <w:p>
      <w:r>
        <w:t>Die Gerichtskosten sind der Beschwerdeführerin aufzuerlegen ( Art. 66 Abs. 1 BGG ). Parteientschädigungen sind mangels entschädigungspflichtigem Aufwand keine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