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5A_950/2019 vom 28. November 2019</w:t>
      </w:r>
    </w:p>
    <w:p>
      <w:r>
        <w:t>Bundesgericht, 2019-11-28, FR</w:t>
      </w:r>
    </w:p>
    <w:p>
      <w:r>
        <w:rPr>
          <w:b/>
        </w:rPr>
        <w:t xml:space="preserve">Quelle: </w:t>
      </w:r>
      <w:r>
        <w:t>https://mcp.opencaselaw.ch/entscheid/bger_5A_950_2019</w:t>
      </w:r>
    </w:p>
    <w:p>
      <w:r>
        <w:t>FR: TF 5A_950/2019 du 28 novembre 2019</w:t>
      </w:r>
    </w:p>
    <w:p>
      <w:r>
        <w:t>IT: TF 5A_950/2019 del 28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d'une poursuite en réalisation de gage immobilier, l'Office des poursuites de la Broye a adressé, le 18 novembre 2019, à A.A.________ (débitrice) et à son époux B.A.________ un avis de vente aux enchères pour le 12 février 2020.</w:t>
      </w:r>
    </w:p>
    <w:p>
      <w:r>
        <w:t>Statuant le 22 novembre 2019, la Présidente de la Chambre des poursuites et faillites du Tribunal cantonal fribourgeois a déclaré irrecevable la plainte déposée par les prénommés à l'encontre de l'avis de vente aux enchères.</w:t>
      </w:r>
    </w:p>
    <w:p>
      <w:r>
        <w:rPr>
          <w:b/>
        </w:rPr>
        <w:t>E. 2</w:t>
      </w:r>
    </w:p>
    <w:p>
      <w:r>
        <w:t>Par acte du 22 novembre 2019, les plaignants exercent un recours en matière civile au Tribunal fédéral.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des recourants doit être traitée en tant que recours en matière civile ( art. 72 al. 2 let. a LTF ).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précédente a constaté que les plaignants ne critiquaient pas du tout l'avis de vente aux enchères, mais expliquaient vouloir rembourser la dette hypothécaire, ce qui n'est pas pertinent à ce stade avancé de la poursuite. Elle a dès lors déclaré irrecevable la plainte, la requête d'effet suspensif devenant sans objet.</w:t>
      </w:r>
    </w:p>
    <w:p>
      <w:r>
        <w:rPr>
          <w:b/>
        </w:rPr>
        <w:t>E. 4.2</w:t>
      </w:r>
    </w:p>
    <w:p>
      <w:r>
        <w:t>Les recourants ne réfutent pas le motif d'irrecevabilité retenu par la magistrate précédente, mais reprennent leur argumentation relative au financement de la dette et formulent divers reproches - dépourvus de pertinence - à l'encontre du poursuivant et de l'Office. Il s'ensuit que le recours doit être écarté d'emblée, faute de motivation idoine ( art. 42 al. 2 LTF ; ATF 140 III 86 consid. 2; 142 III 364 consid. 2.4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); les frais incombent aux recourants, solidairement entre eux ( art. 66 al. 1 et 5 LTF ).</w:t>
      </w:r>
    </w:p>
    <w:p>
      <w:r>
        <w:t>Le présent arrêt rend sans objet la requête d'effet suspensif formée par les recourants.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