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5A_950/2017 vom 29. November 2017</w:t>
      </w:r>
    </w:p>
    <w:p>
      <w:r>
        <w:t>Bundesgericht, 2017-11-29, DE</w:t>
      </w:r>
    </w:p>
    <w:p>
      <w:r>
        <w:rPr>
          <w:b/>
        </w:rPr>
        <w:t xml:space="preserve">Quelle: </w:t>
      </w:r>
      <w:r>
        <w:t>https://mcp.opencaselaw.ch/entscheid/bger_5A_950_2017</w:t>
      </w:r>
    </w:p>
    <w:p>
      <w:r>
        <w:t>FR: TF 5A_950/2017 du 29 novembre 2017</w:t>
      </w:r>
    </w:p>
    <w:p>
      <w:r>
        <w:t>IT: TF 5A_950/2017 del 29 novembre 2017</w:t>
      </w:r>
    </w:p>
    <w:p>
      <w:pPr>
        <w:pStyle w:val="Heading2"/>
      </w:pPr>
      <w:r>
        <w:t>Erwägungen</w:t>
      </w:r>
    </w:p>
    <w:p>
      <w:r>
        <w:rPr>
          <w:b/>
        </w:rPr>
        <w:t>E. 1</w:t>
      </w:r>
    </w:p>
    <w:p>
      <w:r>
        <w:t>Das Obergericht erwog zusammengefasst, dass die Fremdplatzierung von B.________ rechtskräftig erfolgt sei, worauf nicht mit Aufsichtsbeschwerde zurückgekommen werden könne. Dass B.________ keinen Kontakt mehr zum Vater wünsche, sei aufgrund der familiären Vorgeschichte nachvollziehbar; es sei nicht ersichtlich, was die KESB nach der Fremdplatzierung und der Errichtung der Beistandschaft sonst noch hätte tun sollen, um das Verhältnis zwischen Vater und Sohn zu verbessern, zumal die unkooperative Haltung dies erschwert habe. Soweit der Beschwerdeführer bemängle, dass die KESB ihn nicht über die enormen Kosten der Fremdplatzierung informiert habe, hätte er die betreffenden Informationen ohne weiteres erhalten können, etwa wenn er zur Anhörung vom 14. März 2016 erschienen wäre; die Kosten seien auch am runden Tisch vom 20. März 2017 thematisiert worden. So oder anders sei aber das Kindeswohl oberste Richtschnur für Kindesschutzmassnahmen, die finanziellen Interessen der Eltern hätten zurückzustehen.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Sodann ist zu beachten, dass das Bundesgericht keine "Oberaufsichtsbehörde" über die kantonalen Kindes- und Erwachsenenschutzbehörden ist und ihm deshalb auch keine Weisungsbefugnisse zukommen.</w:t>
      </w:r>
    </w:p>
    <w:p>
      <w:r>
        <w:t>Der Beschwerdeführer stellt keine topischen Rechtsbegehren und setzt sich auch nicht zielgerichtet mit den Erwägungen des angefochtenen Entscheides auseinander, soweit es sich um potentielle Rechtsverletzungen in der Sache selbst handeln könnte und es nicht um die Amtsführung durch die KESB, mithin um eigentliches Aufsichtsrecht geht.</w:t>
      </w:r>
    </w:p>
    <w:p>
      <w:r>
        <w:rPr>
          <w:b/>
        </w:rPr>
        <w:t>E. 3</w:t>
      </w:r>
    </w:p>
    <w:p>
      <w:r>
        <w:t>Nach dem Gesagten erweist sich die Beschwerde als offensichtlich nicht hinreichend begründet, soweit sie als potentiell zulässig erachtet werden könnte, weshalb auf sie insgesamt nicht eingetreten werden kann und der Präsident im vereinfachten Verfahren entscheidet ( Art. 108 Abs. 1 lit. a und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