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5A_94/2026 vom 13. März 2026</w:t>
      </w:r>
    </w:p>
    <w:p>
      <w:r>
        <w:t>Bundesgericht, 2026-03-13, DE</w:t>
      </w:r>
    </w:p>
    <w:p>
      <w:r>
        <w:rPr>
          <w:b/>
        </w:rPr>
        <w:t xml:space="preserve">Quelle: </w:t>
      </w:r>
      <w:r>
        <w:t>https://mcp.opencaselaw.ch/entscheid/bger_5A_94_2026</w:t>
      </w:r>
    </w:p>
    <w:p>
      <w:r>
        <w:t>FR: TF 5A_94/2026 du 13 mars 2026</w:t>
      </w:r>
    </w:p>
    <w:p>
      <w:r>
        <w:t>IT: TF 5A_94/2026 del 13 marzo 2026</w:t>
      </w:r>
    </w:p>
    <w:p>
      <w:pPr>
        <w:pStyle w:val="Heading2"/>
      </w:pPr>
      <w:r>
        <w:t>Erwägungen</w:t>
      </w:r>
    </w:p>
    <w:p>
      <w:r>
        <w:rPr>
          <w:b/>
        </w:rPr>
        <w:t>E. 1</w:t>
      </w:r>
    </w:p>
    <w:p>
      <w:r>
        <w:t>Der Beschwerdeführer wird von B.________ für eine Forderung von Fr. 8'600.-- nebst Zins betrieben (Betreibung Nr. xxx des Betreibungsamtes Bern-Mittelland, Dienststelle Mittelland). Gegen den Zahlungsbefehl wurde Rechtsvorschlag erhoben.</w:t>
      </w:r>
    </w:p>
    <w:p>
      <w:r>
        <w:t>Am 15. Januar 2026 erhob der Beschwerdeführer Beschwerde gegen die Betreibung. Mit Entscheid vom 20. Januar 2026 trat das Obergericht des Kantons Bern auf die Beschwerde nicht ein.</w:t>
      </w:r>
    </w:p>
    <w:p>
      <w:r>
        <w:t>Dagegen hat der Beschwerdeführer am 30. Januar 2026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Obergericht ist auf die Beschwerde nicht eingetreten, da der Beschwerdeführer bestreite, Schuldner zu sein, im Beschwerdeverfahren nach Art. 17 SchKG die Forderung jedoch nicht materiell überprüft werden könne. In einer Eventualerwägung hat es festgehalten, der Beschwerdeführer mache keine Umstände geltend, die für eine rechtsmissbräuchliche Betreibung sprächen, und solche Umstände seien auch nicht ersichtlich. Zudem hat es das Vorgehen in Bezug auf die vom Beschwerdeführer beantragte Löschung des Betreibungsregistereintrags bzw. die Nichtbekanntgabe der Betreibung an Dritte erläutert.</w:t>
      </w:r>
    </w:p>
    <w:p>
      <w:r>
        <w:rPr>
          <w:b/>
        </w:rPr>
        <w:t>E. 4</w:t>
      </w:r>
    </w:p>
    <w:p>
      <w:r>
        <w:t>Der Beschwerdeführer macht geltend, die Betreibung sei schikanös und rechtsmissbräuchlich. Das Obergericht sei in Willkür verfallen, indem es die Betreibung als zulässig erachtet habe, und es habe das Recht verweigert, indem es die Rechtsmissbräuchlichkeit nicht geprüft habe. Er übergeht, dass das Obergericht die Rechtsmissbräuchlichkeit in der Eventualerwägung sehr wohl geprüft hat. Er zählt verschiedene Elemente auf, die die Missbräuchlichkeit begründen sollen (z.B. bewusste Falschadressierung der Betreibung, Schädigungsabsicht, Druckausübung im Kontext eines laufenden, eskalierenden Konflikts). Damit stellt er bloss seine Sicht der Dinge dar, ohne detailliert darzutun, dass er die genannten Umstände bereits vor Obergericht vorgebracht und belegt hat und das Obergericht in der Folge auf Rechtsmissbräuchlichkeit der Betreibung hätte schliessen müssen. Inwiefern der Streitgegenstand verkannt worden sein soll, indem das Obergericht als Gegenpartei das Betreibungsamt und nicht den Gläubiger bezeichnet hat, legt er ebenfalls nicht hinreichend dar.</w:t>
      </w:r>
    </w:p>
    <w:p>
      <w:r>
        <w:t>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