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5A_94/2022 vom 9. Februar 2022</w:t>
      </w:r>
    </w:p>
    <w:p>
      <w:r>
        <w:t>Bundesgericht, 2022-02-09, DE</w:t>
      </w:r>
    </w:p>
    <w:p>
      <w:r>
        <w:rPr>
          <w:b/>
        </w:rPr>
        <w:t xml:space="preserve">Quelle: </w:t>
      </w:r>
      <w:r>
        <w:t>https://mcp.opencaselaw.ch/entscheid/bger_5A_94_2022</w:t>
      </w:r>
    </w:p>
    <w:p>
      <w:r>
        <w:t>FR: TF 5A_94/2022 du 9 février 2022</w:t>
      </w:r>
    </w:p>
    <w:p>
      <w:r>
        <w:t>IT: TF 5A_94/2022 del 9 febbraio 2022</w:t>
      </w:r>
    </w:p>
    <w:p>
      <w:pPr>
        <w:pStyle w:val="Heading2"/>
      </w:pPr>
      <w:r>
        <w:t>Erwägungen</w:t>
      </w:r>
    </w:p>
    <w:p>
      <w:r>
        <w:rPr>
          <w:b/>
        </w:rPr>
        <w:t>E. 1</w:t>
      </w:r>
    </w:p>
    <w:p>
      <w:r>
        <w:t>Vor Bundesgericht anfechtbar sind einzig Entscheide letzter kantonaler Instanzen ( Art. 75 Abs. 1 BGG ). Soweit ebenfalls eine Aufhebung der Verfügung der KESB verlangt wird, kann auf die Beschwerde von vornherein nicht eingetreten werden.</w:t>
      </w:r>
    </w:p>
    <w:p>
      <w:r>
        <w:rPr>
          <w:b/>
        </w:rPr>
        <w:t>E. 2</w:t>
      </w:r>
    </w:p>
    <w:p>
      <w:r>
        <w:t>Das kantonsgerichtliche Urteil betrifft den Bereich des Erwachsenenschutzrechtes, in welchem die Beschwerde in Zivilsachen an sich möglich ist (Art. 72 Abs. 2 lit. b Ziff. 6 BGG). Indes stellt das Urteil, weil das erwachsenenschutzrechtliche Verfahren damit nicht abgeschlossen wird, keinen End-, sondern bloss einen Zwischenentscheid dar, welcher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III 80 E. 1.2 S. 81; 141 IV 289 E. 1.3 S. 292). Hierzu erfolgen keine Ausführungen, weshalb auf die Beschwerde nicht eingetreten werden kann.</w:t>
      </w:r>
    </w:p>
    <w:p>
      <w:r>
        <w:rPr>
          <w:b/>
        </w:rPr>
        <w:t>E. 3</w:t>
      </w:r>
    </w:p>
    <w:p>
      <w:r>
        <w:t>Selbst wenn die Voraussetzungen von Art. 93 Abs. 1 BGG dargelegt und zu bejahen wären, könnte auf die Beschwerde nicht eingetreten werden: Sie besteht in erster Linie aus einer (eher lose auf das angefochtene Urteil bezogenen) Schilderung der Dinge aus eigener Sicht, mit welcher durchwegs das Gegenteil der Sachverhaltsfeststellungen im angefochtenen Urteil behauptet wird (Wohnverhältnisse, ärztliche Versorgung, etc.). Indes ist der von der Vorinstanz festgestellte Sachverhalt für das Bundesgericht grundsätzlich verbindlich ( Art. 105 Abs. 1 BGG ). Diesbezüglich könnte einzig eine willkürliche Sachverhaltsfeststellung gerügt werden, wofür das strenge Rügeprinzip gilt ( Art. 97 Abs. 1 und Art. 106 Abs. 2 BGG ); dies bedeutet, dass das Bundesgericht nur klar und detailliert erhobene und belegte Rügen prüft, während es auf ungenügend substanziierte Rügen und rein appellatorische Kritik am Sachverhalt nicht eintritt ( BGE 140 III 264 E. 2.3 S. 266; 141 IV 249 E. 1.3.1 S. 253). Willkürrügen werden indes in der eingereichten Beschwerde weder explizit noch vom Inhalt her erhoben; vielmehr bleiben die Vorbringen rein appellatorisch. In rechtlicher Hinsicht erfolgen nur wenige Ausführungen und es findet keine Auseinandersetzung mit den Erwägungen des angefochtenen Urteils statt (namentlich betreffend Vorsorgeauftrag), wie dies bei Rechtsrügen nötig wäre (vgl. BGE 140 III 115 E. 2 S. 116; 142 III 364 E. 2.4 S. 368).</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