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5A_94/2018 vom 16. Juli 2018</w:t>
      </w:r>
    </w:p>
    <w:p>
      <w:r>
        <w:t>Bundesgericht, 2018-07-16, FR</w:t>
      </w:r>
    </w:p>
    <w:p>
      <w:r>
        <w:rPr>
          <w:b/>
        </w:rPr>
        <w:t xml:space="preserve">Quelle: </w:t>
      </w:r>
      <w:r>
        <w:t>https://mcp.opencaselaw.ch/entscheid/bger_5A_94_2018</w:t>
      </w:r>
    </w:p>
    <w:p>
      <w:r>
        <w:t>FR: TF 5A_94/2018 du 16 juillet 2018</w:t>
      </w:r>
    </w:p>
    <w:p>
      <w:r>
        <w:t>IT: TF 5A_94/2018 del 16 luglio 2018</w:t>
      </w:r>
    </w:p>
    <w:p>
      <w:pPr>
        <w:pStyle w:val="Heading2"/>
      </w:pPr>
      <w:r>
        <w:t>Erwägungen</w:t>
      </w:r>
    </w:p>
    <w:p>
      <w:r>
        <w:rPr>
          <w:b/>
        </w:rPr>
        <w:t>E. 1</w:t>
      </w:r>
    </w:p>
    <w:p>
      <w:r>
        <w:t>Le recours est dirigé contre une décision finale ( art. 90 LTF ), rendue sur appel par le tribunal supérieur du canton ( art. 75 LTF ), statuant après arrêt de renvoi du Tribunal fédéral, dans une affaire civile ( art. 72 al. 1 LTF ) de nature pécuniaire, dont la valeur litigieuse atteint 30'000 fr. ( art. 74 al. 1 let. b LTF ). Le recours a été interjeté en temps utile ( art. 46 al. 1 let . c et 100 al. 1 LTF) et en la forme prévue par la loi ( art. 42 LTF ), par la partie qui a pris part à la procédure devant l'autorité précédente ( art. 76 al. 1 let. a LTF ) et a un intérêt digne de protection à l'annulation ou à la modification de la décision attaquée ( art. 76 al. 1 let. b LTF ).</w:t>
      </w:r>
    </w:p>
    <w:p>
      <w:r>
        <w:rPr>
          <w:b/>
        </w:rPr>
        <w:t>E. 2.1</w:t>
      </w:r>
    </w:p>
    <w:p>
      <w:r>
        <w:t>Les recourants reprochent en substance à la cour cantonale de ne pas avoir respecté l'arrêt de renvoi du Tribunal fédéral 5A_914/2016 en refusant de procéder à une instruction complémentaire et d'avoir ainsi rendu une décision insoutenable car dépourvue de tout nouvel élément permettant d'appuyer son raisonnement. L'argumentation de l'intimée reprend la motivation développée par la cour cantonale, résumée ci-dessous au consid. 2.1.2.</w:t>
      </w:r>
    </w:p>
    <w:p>
      <w:r>
        <w:rPr>
          <w:b/>
        </w:rPr>
        <w:t>E. 2.1.1</w:t>
      </w:r>
    </w:p>
    <w:p>
      <w:r>
        <w:t>Dans l'arrêt 5A_914/2016, le Tribunal fédéral a considéré que l'expertise sur laquelle s'était fondée la cour cantonale pour rejeter la demande introduite par les recourants, exclure ainsi la réalisation des conditions d'application de l' art. 679 CC et écarter la responsabilité de l'intimée était contradictoire et ne permettait pas de dégager les causes de l'effondrement du mur. Dès lors que celles-ci induisaient un raisonnement différent au niveau de la responsabilité pouvant être imputée aux parties, l'arrêt cantonal a été intégralement annulé et l'affaire renvoyée à la cour cantonale pour instruction et nouvelle décision au sens des considérants.</w:t>
      </w:r>
    </w:p>
    <w:p>
      <w:r>
        <w:rPr>
          <w:b/>
        </w:rPr>
        <w:t>E. 2.1.2</w:t>
      </w:r>
    </w:p>
    <w:p>
      <w:r>
        <w:t>Rappelant que les parties avaient l'obligation de présenter en première instance tous les moyens de preuve utiles, sous réserve des faits et moyens de preuve nouveaux admissibles en appel selon l' art. 317 al. 1 CPC , la cour cantonale a relevé qu'en première instance, les recourants n'avaient pas requis un nouveau complément d'expertise ou une seconde expertise; ils n'alléguaient pas non plus avoir été empêchés de le faire en se référant à la disposition précitée. Partant, la cause devait être jugée sur la base des preuves à disposition sans qu'il y eût lieu de procéder à l'audition de l'expert, qu'ils réclamaient désormais. L'expertise était certes insatisfaisante et aucun autre élément au dossier ne prouvait que le comportement de l'intimée aurait occasionné l'atteinte que les recourants avaient subie. Il fallait dès lors considérer que ceux-ci avaient échoué à démontrer le lien de causalité naturelle entre une utilisation excessive du fonds par leur partie adverse et le dommage invoqué, démonstration dont ils avaient pourtant la charge ( art. 8 et 679 CC ). La cour cantonale a en conséquence jugé que leur demande devait être rejetée.</w:t>
      </w:r>
    </w:p>
    <w:p>
      <w:r>
        <w:t>Contrairement à leur arrêt du 15 septembre 2016 par lequel ils avaient admis la demande reconventionnelle de l'intimée tendant à obtenir des recourants le rétablissement, à leurs frais, d'un mur de soutènement et l'enlèvement des étais installés sur la parcelle no 874, les juges cantonaux n'ont admis, dans leur arrêt rendu sur renvoi, que ce second chef de conclusion. Le rétablissement du mur de soutènement aux frais des recourants a en revanche été refusé dès lors que l'expertise ne permettait pas de déterminer l'existence d'un vice de construction ou d'un défaut d'entretien de la part des recourants autorisant une indemnisation sur la base de l' art. 58 CO . L'intimée ne disposait plus, au demeurant, de la servitude d'appui sur le mur de soutènement et n'invoquait pas que l'absence de reconstruction de celui-ci lui causerait un dommage ou l'en menacerait: les conditions de l' art. 679 al. 1 CC n'étaient donc pas réalisées.</w:t>
      </w:r>
    </w:p>
    <w:p>
      <w:r>
        <w:rPr>
          <w:b/>
        </w:rPr>
        <w:t>E. 2.2</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arrêt 5A_130/2018 du 11 avril 2018 consid. 2.1).</w:t>
      </w:r>
    </w:p>
    <w:p>
      <w:r>
        <w:rPr>
          <w:b/>
        </w:rPr>
        <w:t>E. 2.3</w:t>
      </w:r>
    </w:p>
    <w:p>
      <w:r>
        <w:t>Il apparaît en l'espèce manifeste que la cour cantonale ne s'est pas conformée à l'arrêt de renvoi 5A_914/2016 qui l'enjoignait expressément de procéder à une instruction complémentaire afin de clarifier les causes de l'effondrement du mur et d'établir ainsi la responsabilité des parties à cet égard, préalable nécessaire à l'appréciation de leurs prétentions respectives. Il s'agit à cet égard de distinguer la situation où l'expertise judiciaire est contradictoire, et partant inutilisable, de celle où celle-ci parvient à la conclusion que le lien de causalité ne peut être établi. Les considérations de la juridiction cantonale sur la possibilité de procéder à un complément d'instruction au regard de l' art. 317 al. 1 CPC sont dès lors dépourvues de pertinence.</w:t>
      </w:r>
    </w:p>
    <w:p>
      <w:r>
        <w:t>Il convient par ailleurs de relever que la décision entreprise rejette la conclusion reconventionnelle de l'intimée par laquelle celle-ci réclamait la reconstruction du mur litigieux aux frais des recourants, conclusion pourtant admise dans le premier arrêt. Sur la base d'un état de fait rigoureusement identique, la cour cantonale a ainsi revu le raisonnement juridique tenu dans son premier arrêt, ce qui n'est guère admissible.</w:t>
      </w:r>
    </w:p>
    <w:p>
      <w:r>
        <w:rPr>
          <w:b/>
        </w:rPr>
        <w:t>E. 2.4.1</w:t>
      </w:r>
    </w:p>
    <w:p>
      <w:r>
        <w:t>Les recourants réclament l'audition de l'expert par le Tribunal fédéral.</w:t>
      </w:r>
    </w:p>
    <w:p>
      <w:r>
        <w:rPr>
          <w:b/>
        </w:rPr>
        <w:t>E. 2.4.2</w:t>
      </w:r>
    </w:p>
    <w:p>
      <w:r>
        <w:t>Des mesures probatoires devant le Tribunal fédéral ne sont qu'exceptionnellement ordonnées dans une procédure de recours ( ATF 136 II 101 consid. 2 et la référence), en tant que le Tribunal fédéral statue et conduit en principe son raisonnement juridique sur la base des faits établis par l'autorité précédente. Aucun élément ne permet toutefois d'inférer ici l'existence de circonstances exceptionnelles justifiant une telle mesure d'instruction. Il ne sera donc pas donné suite à la requête la sollicitant.</w:t>
      </w:r>
    </w:p>
    <w:p>
      <w:r>
        <w:rPr>
          <w:b/>
        </w:rPr>
        <w:t>E. 2.5</w:t>
      </w:r>
    </w:p>
    <w:p>
      <w:r>
        <w:t>Il n'y a pas lieu d'examiner les griefs de violation du droit d'être entendu ( art. 29 al. 2 Cst. ), ni ceux relatifs à la violation des art. 316 al. 3 et 188 al. 2 CPC ainsi que 152 al. 1 CPC, le sort du litige étant scellé (consid. 2.3 supra). De même, il n'y a pas lieu de s'arrêter sur la motivation au fond que les recourants développent dans la seconde partie de leur recours.</w:t>
      </w:r>
    </w:p>
    <w:p>
      <w:r>
        <w:rPr>
          <w:b/>
        </w:rPr>
        <w:t>E. 3</w:t>
      </w:r>
    </w:p>
    <w:p>
      <w:r>
        <w:t>Vu ce qui précède, le recours doit être admis et la cause retournée à la cour cantonale pour instruction et nouvelle décision au sens des considérants. 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