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5A_948/2023 vom 20. Dezember 2023</w:t>
      </w:r>
    </w:p>
    <w:p>
      <w:r>
        <w:t>Bundesgericht, 2023-12-20, IT</w:t>
      </w:r>
    </w:p>
    <w:p>
      <w:r>
        <w:rPr>
          <w:b/>
        </w:rPr>
        <w:t xml:space="preserve">Quelle: </w:t>
      </w:r>
      <w:r>
        <w:t>https://mcp.opencaselaw.ch/entscheid/bger_5A_948_2023</w:t>
      </w:r>
    </w:p>
    <w:p>
      <w:r>
        <w:t>FR: TF 5A_948/2023 du 20 décembre 2023</w:t>
      </w:r>
    </w:p>
    <w:p>
      <w:r>
        <w:t>IT: TF 5A_948/2023 del 20 dicembre 2023</w:t>
      </w:r>
    </w:p>
    <w:p>
      <w:pPr>
        <w:pStyle w:val="Heading2"/>
      </w:pPr>
      <w:r>
        <w:t>Erwägungen</w:t>
      </w:r>
    </w:p>
    <w:p>
      <w:r>
        <w:rPr>
          <w:b/>
        </w:rPr>
        <w:t>E. 1</w:t>
      </w:r>
    </w:p>
    <w:p>
      <w:r>
        <w:t>Mediante istanza 13/15 settembre 2023 l'avv. Pascal Cattaneo, curatore di rappresentanza di A.A.________ ai sensi dell' art. 394 CC , ha trasmesso all'Autorità regionale di protezione 9 sede di Torricella-Taverne copia dello scritto 24 agosto 2023 dell'avv. B.________, che rappresenta i coniugi A.________ nella procedura di separazione coniugale con accordo completo giusta l'art. 117 segg. CC, con cui ha chiesto la ratifica per procedere con la domanda di separazione coniugale. Con decisione 15 ottobre 2023 l'autorità di protezione ha annullato una propria precedente decisione 29 settembre 2023 e ha dichiarato irricevibile la predetta istanza del curatore, siccome relativa a diritti strettamente personali del curatelato.</w:t>
      </w:r>
    </w:p>
    <w:p>
      <w:r>
        <w:t>Con reclamo 23 ottobre 2023 A.A.________ ha chiesto l'annullamento di tale decisione. Mediante sentenza 7 novembre 2023 il Presidente della Camera di protezione del Tribunale d'appello del Cantone Ticino ha dichiarato irricevibile il rimedio siccome carente di motivazione e in larga misura estraneo al tema della contestata decisione.</w:t>
      </w:r>
    </w:p>
    <w:p>
      <w:r>
        <w:rPr>
          <w:b/>
        </w:rPr>
        <w:t>E. 2</w:t>
      </w:r>
    </w:p>
    <w:p>
      <w:r>
        <w:t>Con ricorso 13 dicembre 2023 A.A.________ ha impugnato tale sentenza cantonale dinanzi al Tribunale federale, chiedendo di annullarla e di attuare " la revoca d'ufficio del mandato e curatela all'avv. Pascal Cattaneo ". Egli ha anche chiesto di ordinare misure cautelari secondo l' art. 104 LTF e di essere posto al beneficio dell'assistenza giudiziaria.</w:t>
      </w:r>
    </w:p>
    <w:p>
      <w:r>
        <w:t>Le sue ulteriori conclusioni (volte per esempio all'adozione di una nuova perizia psichiatrica,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La questione della capacità processuale di A.A.________, il quale ha inoltrato personalmente il gravame all'esame, può essere lasciata aperta, dato che tale rimedio, come si vedrà in seguito, sfugge comunque a un esame di merito.</w:t>
      </w:r>
    </w:p>
    <w:p>
      <w:r>
        <w:rPr>
          <w:b/>
        </w:rPr>
        <w:t>E. 4</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ridotta misura in cui il ricorrente discute la sentenza di ultima istanza cantonale (v. art. 75 cpv. 1 LTF ), egli omette di confrontarsi con l'argomentazione posta a fondamento di tale giudizio e di spiegare in modo intellegibile perché il suo reclamo avrebbe dovuto essere considerato ricevibile. Il ricorso al Tribunale federale, confuso e prolisso, non soddisfa pertanto le esigenze di motivazione degli art. 42 cpv. 2 e 106 cpv. 2 LTF.</w:t>
      </w:r>
    </w:p>
    <w:p>
      <w:r>
        <w:rPr>
          <w:b/>
        </w:rPr>
        <w:t>E. 5</w:t>
      </w:r>
    </w:p>
    <w:p>
      <w:r>
        <w:t>Da quanto precede discende che il ricorso può essere deciso nella procedura semplificata dell' art. 108 cpv. 1 lett. a-b LTF . Con l'evasione del ricorso, la richiesta di adozione di misure cautelari giusta l' art. 104 LTF (comunque insufficientemente motivata) diventa priva di oggetto.</w:t>
      </w:r>
    </w:p>
    <w:p>
      <w:r>
        <w:t>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 indennità di inconvenienza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