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947/2016 vom 13. Dezember 2016</w:t>
      </w:r>
    </w:p>
    <w:p>
      <w:r>
        <w:t>Bundesgericht, 2016-12-13, DE</w:t>
      </w:r>
    </w:p>
    <w:p>
      <w:r>
        <w:rPr>
          <w:b/>
        </w:rPr>
        <w:t xml:space="preserve">Quelle: </w:t>
      </w:r>
      <w:r>
        <w:t>https://mcp.opencaselaw.ch/entscheid/bger_5A_947_2016</w:t>
      </w:r>
    </w:p>
    <w:p>
      <w:r>
        <w:t>FR: TF 5A 947/2016 du 13 décembre 2016</w:t>
      </w:r>
    </w:p>
    <w:p>
      <w:r>
        <w:t>IT: TF 5A 947/2016 del 13 dicembre 2016</w:t>
      </w:r>
    </w:p>
    <w:p>
      <w:pPr>
        <w:pStyle w:val="Heading2"/>
      </w:pPr>
      <w:r>
        <w:t>Regeste</w:t>
      </w:r>
    </w:p>
    <w:p>
      <w:r>
        <w:t>Abänderung Eheschutzmassnahmen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Entscheid in einer Zivilsache mit Fr. 30'000.-- übersteigendem Streitwert; die Beschwerde in Zivilsachen ist mithin grundsätzlich gegeben ( Art. 72 Abs. 1, Art. 74 Abs. 1 lit. b, Art. 75 Abs. 1 und Art. 90 BGG ). Weil der Eheschutzentscheid - und auch dessen Abänderung - eine vorsorgliche Massnahme im Sinn von Art. 98 BGG darstellt ( BGE 133 III 393 E. 5.1 S. 397), kann einzig die Verletzung verfassungsmässiger Rechte gerügt werden und es gilt hierfür das strenge Rügeprinzip gemäss Art. 106 Abs. 2 BGG ( BGE 134 I 83 E. 3.2 S. 88). Vorliegend wird nirgends ein verfassungsmässiges Recht angerufen, sondern mit rein appellatorischen Ausführungen der angefochtene Entscheid kritisiert, weshalb auf die Beschwerde nicht eingetreten werden kann, selbst wenn eine Verfassungsverletzung tatsächlich vorläge ( BGE 139 I 229 E. 2.3 S. 232).</w:t>
      </w:r>
    </w:p>
    <w:p>
      <w:r>
        <w:rPr>
          <w:b/>
        </w:rPr>
        <w:t>E. 2</w:t>
      </w:r>
    </w:p>
    <w:p>
      <w:r>
        <w:t>Nach dem Gesagten erweist sich die Beschwerde als offensichtlich unzureichend begründet, weshalb der Präsident im vereinfachten Verfahren entscheidet ( Art. 108 Abs. 1 lit. b BGG ).</w:t>
      </w:r>
    </w:p>
    <w:p>
      <w:r>
        <w:rPr>
          <w:b/>
        </w:rPr>
        <w:t>E. 3</w:t>
      </w:r>
    </w:p>
    <w:p>
      <w:r>
        <w:t>Wie die vorstehenden Erwägungen zeigen, konnte der Beschwerde von Anfang an kein Erfolg beschieden sein, weshalb es auch für das bundesgerichtliche Verfahren an den materiellen Voraussetzungen der unentgeltlichen Rechtspflege fehlt ( Art. 64 Abs. 1 BGG ) und das betreffende Gesuch folglich abzuweisen ist. Indes rechtfertigt es sich angesichts der konkreten Umstände, von einer Kostenerhebung abzusehen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