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5A_945/2020 vom 13. November 2020</w:t>
      </w:r>
    </w:p>
    <w:p>
      <w:r>
        <w:t>Bundesgericht, 2020-11-13, DE</w:t>
      </w:r>
    </w:p>
    <w:p>
      <w:r>
        <w:rPr>
          <w:b/>
        </w:rPr>
        <w:t xml:space="preserve">Quelle: </w:t>
      </w:r>
      <w:r>
        <w:t>https://mcp.opencaselaw.ch/entscheid/bger_5A_945_2020</w:t>
      </w:r>
    </w:p>
    <w:p>
      <w:r>
        <w:t>FR: TF 5A_945/2020 du 13 novembre 2020</w:t>
      </w:r>
    </w:p>
    <w:p>
      <w:r>
        <w:t>IT: TF 5A_945/2020 del 13 novembre 2020</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t>Ausserdem hat die Beschwerde ein Rechtsbegehren zu enthalten ( Art. 42 Abs. 1 BGG ).</w:t>
      </w:r>
    </w:p>
    <w:p>
      <w:r>
        <w:rPr>
          <w:b/>
        </w:rPr>
        <w:t>E. 2</w:t>
      </w:r>
    </w:p>
    <w:p>
      <w:r>
        <w:t>Die Beschwerde enthält kein Rechtsbegehren; bereits daran scheitert sie.</w:t>
      </w:r>
    </w:p>
    <w:p>
      <w:r>
        <w:t>Die Beschwerdebegründung besteht in erster Linie aus polemischer und pauschaler Kritik (die Zürcher Gerichte würden mit immer neuen faktenverdrehenden Geschichten versuchen, ihm das Sorgerecht abzunehmen und ihn aus dem Leben der Tochter zu verbannen) und aus appellatorisch vorgebrachten Sachverhaltsbehauptungen (Hinweise auf frühere Vorfälle häuslicher Gewalt), die indes auch im angefochtenen Entscheid dargestellt werden. Eine sachgerichtete Auseinandersetzung mit den Erwägungen des angefochtenen Entscheides, welcher der Mutter trotz dieser Vorfälle ausgehend vom erstellten Gutachten eine genügende Erziehungsfähigkeit attestiert und im Übrigen von einer guten und tragfähigen Mutter-Tochter-Beziehung ausgeht, ist in der Beschwerde nicht auszumachen. Der Beschwerdeführer müsste im Zusammenhang mit seinem sinngemässen Anliegen darlegen, inwiefern eine Rechtsverletzung vorliegen soll, wenn ihm nicht die Alleinsorge übertragen wurde; eine dahingehende Begründung enthält die Beschwerde nicht.</w:t>
      </w:r>
    </w:p>
    <w:p>
      <w:r>
        <w:t>Im Zusammenhang mit der Kontaktregelung wird einzig geltend gemacht, diese funktioniere nicht, weil die Mutter offensichtlich die Kommunikationskanäle sabotiere. Dies ist nicht geeignet, eine Rechtsverletzung durch den angefochtenen Entscheid aufzuzeigen.</w:t>
      </w:r>
    </w:p>
    <w:p>
      <w:r>
        <w:t>Unsubstanziiert bleibt schliesslich die Kritik am obergerichtlichen Kostenentscheid (Verlegung im Verhältnis ¼ zu ¾), wenn einzig behauptet wird, es sei eine falsche Annahme, die Beschwerdegegnerin als überwiegend obsiegend zu betrachten.</w:t>
      </w:r>
    </w:p>
    <w:p>
      <w:r>
        <w:rPr>
          <w:b/>
        </w:rPr>
        <w:t>E. 3</w:t>
      </w:r>
    </w:p>
    <w:p>
      <w:r>
        <w:t>Nach dem Gesagten ist auf die Beschwerde im vereinfachten Verfahren nach Art. 108 Abs. 1 lit. b BGG nicht einzutreten.</w:t>
      </w:r>
    </w:p>
    <w:p>
      <w:r>
        <w:rPr>
          <w:b/>
        </w:rPr>
        <w:t>E. 4</w:t>
      </w:r>
    </w:p>
    <w:p>
      <w:r>
        <w:t>Die Gerichtskosten von Fr. 1'500.--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