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5A_944/2015 vom 30. November 2015</w:t>
      </w:r>
    </w:p>
    <w:p>
      <w:r>
        <w:t>Bundesgericht, 2015-11-30, DE</w:t>
      </w:r>
    </w:p>
    <w:p>
      <w:r>
        <w:rPr>
          <w:b/>
        </w:rPr>
        <w:t xml:space="preserve">Quelle: </w:t>
      </w:r>
      <w:r>
        <w:t>https://mcp.opencaselaw.ch/entscheid/bger_5A_944_2015</w:t>
      </w:r>
    </w:p>
    <w:p>
      <w:r>
        <w:t>FR: TF 5A_944/2015 du 30 novembre 2015</w:t>
      </w:r>
    </w:p>
    <w:p>
      <w:r>
        <w:t>IT: TF 5A_944/2015 del 30 novembre 2015</w:t>
      </w:r>
    </w:p>
    <w:p>
      <w:pPr>
        <w:pStyle w:val="Heading2"/>
      </w:pPr>
      <w:r>
        <w:t>Volltext</w:t>
      </w:r>
    </w:p>
    <w:p>
      <w:r>
        <w:t>Bundesgericht</w:t>
      </w:r>
    </w:p>
    <w:p>
      <w:r>
        <w:t>Tribunal fédéral</w:t>
      </w:r>
    </w:p>
    <w:p>
      <w:r>
        <w:t>Tribunale federale</w:t>
      </w:r>
    </w:p>
    <w:p>
      <w:r>
        <w:t>Tribunal federal</w:t>
      </w:r>
    </w:p>
    <w:p>
      <w:r>
        <w:t>{T 0/2}</w:t>
      </w:r>
    </w:p>
    <w:p>
      <w:r>
        <w:t>5A_944/2015</w:t>
      </w:r>
    </w:p>
    <w:p>
      <w:r>
        <w:t>Urteil vom 30. November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Kindes- und Erwachsenenschutzbehörde U.________.</w:t>
      </w:r>
    </w:p>
    <w:p>
      <w:r>
        <w:t>Gegenstand</w:t>
      </w:r>
    </w:p>
    <w:p>
      <w:r>
        <w:t>Zustimmung zur Grundstückveräusserung (Vertretungsbeistandschaft),</w:t>
      </w:r>
    </w:p>
    <w:p>
      <w:r>
        <w:t>Beschwerde nach Art. 72 ff. BGG gegen den Entscheid vom 22. Oktober 2015 des Kantonsgerichts St. Gallen (II. Zivilkammer).</w:t>
      </w:r>
    </w:p>
    <w:p>
      <w:r>
        <w:t>Nach Einsicht</w:t>
      </w:r>
    </w:p>
    <w:p>
      <w:r>
        <w:t>in die Beschwerde gemäss Art. 72 ff. BGG gegen den Entscheid vom 22. Oktober 2015 des Kantonsgerichts St. Gallen, das eine Beschwerde des (unter Vertretungsbeistandschaft mit Vermögensverwaltung stehenden) Beschwerdeführers gegen einen Nichteintretensentscheid der Verwaltungsrekurskommission des Kantons St. Gallen (Nichteintreten - mangels Prozessfähigkeit des Beschwerdeführers - auf dessen Beschwerde gegen die Zustimmung der Kindes- und Erwachsenenschutzbehörde U.________ zum Verkauf seiner Liegenschaft) abgewiesen hat, soweit es darauf eingetreten ist,</w:t>
      </w:r>
    </w:p>
    <w:p>
      <w:r>
        <w:t>in Erwägung,</w:t>
      </w:r>
    </w:p>
    <w:p>
      <w:r>
        <w:t>dass das Kantonsgericht erwog, der Beschwerdeführer setze sich in keiner Weise mit der Erwägung der Verwaltungsrekurskommission auseinander, wonach er keine Zustimmung seines Beistandes zur Beschwerdeerhebung beigebracht habe, mangels Beschwerdebegründung sei auch auf die Beschwerde an das Kantonsgericht nicht einzutreten, im Übrigen wäre die Beschwerde abzuweisen gewesen, weil die Verwaltungsrekurskommission (nach erfolgloser Aufforderung zur Beibringung der Zustimmung) zu Recht auf die (erste) Beschwerde nicht eingetreten sei,</w:t>
      </w:r>
    </w:p>
    <w:p>
      <w:r>
        <w:t>dass die Beschwerde nach Art. 72 ff. BGG von vornherein unzulässig ist, soweit der Beschwerdeführer Anträge stellt und Rügen erhebt, die über den Gegenstand des Entscheids des Kantonsgerichts vom 22. Oktober 2015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kantonsgerichtlichen Erwägungen eingeht,</w:t>
      </w:r>
    </w:p>
    <w:p>
      <w:r>
        <w:t>dass er erst recht nicht nach den gesetzlichen Anforderungen anhand dieser Erwägungen aufzeigt, inwiefern der Entscheid des Kantonsgerichts vom 22. Oktober 2015 rechts- oder verfassungswidrig sein soll,</w:t>
      </w:r>
    </w:p>
    <w:p>
      <w:r>
        <w:t>dass somit auf die - offensichtlich unzulässige bzw. keine hinreichende Begründung enthaltende - Beschwerde in Anwendung von Art. 108 Abs. 1 lit. a und b BGG nicht einzutreten ist,</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Die Gerichtskosten von Fr. 300.-- werden dem Beschwerdeführer auferlegt.</w:t>
      </w:r>
    </w:p>
    <w:p>
      <w:r>
        <w:t>3.</w:t>
      </w:r>
    </w:p>
    <w:p>
      <w:r>
        <w:t>Dieses Urteil wird dem Beschwerdeführer, der Kindes- und Erwachsenenschutzbehörde U.________ und dem Kantonsgericht St. Gallen schriftlich mitgeteilt.</w:t>
      </w:r>
    </w:p>
    <w:p>
      <w:r>
        <w:t>Lausanne, 30. November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