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5A_943/2021 vom 24. November 2021</w:t>
      </w:r>
    </w:p>
    <w:p>
      <w:r>
        <w:t>Bundesgericht, 2021-11-24, DE</w:t>
      </w:r>
    </w:p>
    <w:p>
      <w:r>
        <w:rPr>
          <w:b/>
        </w:rPr>
        <w:t xml:space="preserve">Quelle: </w:t>
      </w:r>
      <w:r>
        <w:t>https://mcp.opencaselaw.ch/entscheid/bger_5A_943_2021</w:t>
      </w:r>
    </w:p>
    <w:p>
      <w:r>
        <w:t>FR: TF 5A_943/2021 du 24 novembre 2021</w:t>
      </w:r>
    </w:p>
    <w:p>
      <w:r>
        <w:t>IT: TF 5A_943/2021 del 24 novembre 2021</w:t>
      </w:r>
    </w:p>
    <w:p>
      <w:pPr>
        <w:pStyle w:val="Heading2"/>
      </w:pPr>
      <w:r>
        <w:t>Erwägungen</w:t>
      </w:r>
    </w:p>
    <w:p>
      <w:r>
        <w:rPr>
          <w:b/>
        </w:rPr>
        <w:t>E. 1</w:t>
      </w:r>
    </w:p>
    <w:p>
      <w:r>
        <w:t>Das Handelsgericht amtet als einzige kantonale Instanz ( Art. 6 Abs. 1 ZPO ), weshalb diese im Sinn von Art. 75 Abs. 2 lit. b BGG kantonal letztinstanzlich ist. Sodann handelt es sich um einen Endentscheid ( Art. 90 BGG ), weil das Gesuch abgewiesen worden ist ( BGE 137 III 589 E. 1.2.2 S. 591; Urteile 5A_21/2014 vom 17. April 2014 E. 1.2; 5A_233/2015 vom 7. September 2015 E. 1; 5A_859/2017 vom 17. November 2017 E. 3; 5A_35/2021 vom 3. Februar 2021 E. 1).</w:t>
      </w:r>
    </w:p>
    <w:p>
      <w:r>
        <w:rPr>
          <w:b/>
        </w:rPr>
        <w:t>E. 2</w:t>
      </w:r>
    </w:p>
    <w:p>
      <w:r>
        <w:t>Entscheide im Zusammenhang mit der vorläufigen Eintragung von Bauhandwerkerpfandrechten ( Art. 961 Abs. 1 Ziff. 1 ZGB ) gelten aber unabhängig vom Verfahrensausgang als vorsorgliche Massnahmen im Sinne von Art. 98 BGG (Urteile 5A_613/2015 vom 22. Januar 2016 E. 1; 5A_849/2016 vom 28. März 2017 E. 2.2; 5A_786/2019 vom 28. Januar 2020 E. 2; 5A_35/2021 vom 3. Februar 2021 E. 2), weshalb nur die Verletzung verfassungsmässiger Rechte gerügt werden kann. In diesem Bereich gilt das strenge Rügeprinzip von Art. 106 Abs. 2 BGG , was bedeutet, dass klar und detailliert anhand der Erwägungen des angefochtenen Entscheids darzulegen ist, inwiefern verfassungsmässige Rechte verletzt worden sein sollen, während auf bloss appellatorische Kritik am angefochtenen Entscheid nicht einzutreten ist ( BGE 134 II 244 E. 2.2 S. 246; 142 II 369 E. 2.1 S. 372; 142 III 364 E. 2.4 S. 368).</w:t>
      </w:r>
    </w:p>
    <w:p>
      <w:r>
        <w:rPr>
          <w:b/>
        </w:rPr>
        <w:t>E. 3</w:t>
      </w:r>
    </w:p>
    <w:p>
      <w:r>
        <w:t>Vorliegend werden Verfassungsverletzungen weder explizit noch dem Sinn nach erhoben. Die Beschwerdeführerin hält unter Beilage von Arbeitsrapporten einzig und in appellatorischer Form fest, sie habe nichts Falsches getan und die im April 2021 ausgeführten Arbeiten seien wichtig gewesen. Die Beschwerde ist deshalb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