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5A_942/2015 vom 21. Dezember 2015</w:t>
      </w:r>
    </w:p>
    <w:p>
      <w:r>
        <w:t>Bundesgericht, 2015-12-21, FR</w:t>
      </w:r>
    </w:p>
    <w:p>
      <w:r>
        <w:rPr>
          <w:b/>
        </w:rPr>
        <w:t xml:space="preserve">Quelle: </w:t>
      </w:r>
      <w:r>
        <w:t>https://mcp.opencaselaw.ch/entscheid/bger_5A_942_2015</w:t>
      </w:r>
    </w:p>
    <w:p>
      <w:r>
        <w:t>FR: TF 5A_942/2015 du 21 décembre 2015</w:t>
      </w:r>
    </w:p>
    <w:p>
      <w:r>
        <w:t>IT: TF 5A_942/2015 del 21 dicembre 2015</w:t>
      </w:r>
    </w:p>
    <w:p>
      <w:pPr>
        <w:pStyle w:val="Heading2"/>
      </w:pPr>
      <w:r>
        <w:t>Erwägungen</w:t>
      </w:r>
    </w:p>
    <w:p>
      <w:r>
        <w:rPr>
          <w:b/>
        </w:rPr>
        <w:t>E. 1.1</w:t>
      </w:r>
    </w:p>
    <w:p>
      <w:r>
        <w:t>Le recours a été déposé dans le délai légal ( art. 100 al. 2 let. a LTF ) à l'encontre d'une décision finale ( art. 90 LTF ; ATF 135 I 187 consid. 1.2 p. 189 et les références) rendue en matière de poursuite pour dettes ( art. 72 al. 2 let. a LTF , en relation avec l' art. 19 LP ) par une autorité de surveillance ayant statué sur recours en dernière instance cantonale ( art. 75 al. 1 et 2 LTF ); le recours est recevable en tant que recours en matière civile, indépendamment de la valeur litigieuse ( art. 74 al. 2 let . c LTF); le plaignant, qui a été débouté par l'autorité cantonale, a qualité pour recourir ( art. 76 al. 1 LTF ).</w:t>
      </w:r>
    </w:p>
    <w:p>
      <w:r>
        <w:rPr>
          <w:b/>
        </w:rPr>
        <w:t>E. 1.2</w:t>
      </w:r>
    </w:p>
    <w:p>
      <w:r>
        <w:t>Avec la présente décision sur le fond, la requête d'effet suspensif devient sans objet.</w:t>
      </w:r>
    </w:p>
    <w:p>
      <w:r>
        <w:rPr>
          <w:b/>
        </w:rPr>
        <w:t>E. 2.1</w:t>
      </w:r>
    </w:p>
    <w:p>
      <w:r>
        <w:t>En vertu de l' art. 42 al. 1 LTF , le mémoire de recours doit indiquer, notamment, les conclusions. Celles-ci doivent être déterminées et précises, c'est-à-dire énoncer exactement quelles sont les modifications demandées (arrêt 5A_882/2015 du 27 novembre 2015 consid. 1.2 et les références). Des conclusions claires et précises sont un élément essentiel dans une procédure judiciaire, tant pour la partie adverse que pour le juge, et il ne saurait subsister de doute à leur sujet; il y a donc lieu de se montrer strict en ce domaine, d'autant qu'il est aisé en règle générale de satisfaire à cette exigence formelle (arrêt 5A_799/2014 du 25 juin 2015 consid. 2.1). Les conclusions qui portent sur une somme d'argent doivent être chiffrées ( ATF 134 III 235 consid. 2 p. 237).</w:t>
      </w:r>
    </w:p>
    <w:p>
      <w:r>
        <w:t>En l'occurrence, le recourant invite en substance le Tribunal fédéral à réduire le montant, estimé disproportionné, de la retenue de salaire, mais ne chiffre pas plus précisément sa conclusion à cet égard. Même s'il est au passage fait allusion à un " arrangement de frs 500.- par mois proposé ", la recevabilité d'une telle conclusion est d'emblée douteuse. La question peut toutefois demeurer ouverte, le recours étant de toute manière voué à l'échec comme on le verra ci-après.</w:t>
      </w:r>
    </w:p>
    <w:p>
      <w:r>
        <w:rPr>
          <w:b/>
        </w:rPr>
        <w:t>E. 2.2</w:t>
      </w:r>
    </w:p>
    <w:p>
      <w:r>
        <w:t>Aux termes de l' art. 99 al. 2 LTF , toute conclusion nouvelle est irrecevable. Tel est le cas de la conclusion tendant à " faire délivrer des actes de défaut de biens ", indépendamment du fait que la cour de céans ne serait quoi qu'il en soit pas habilitée à y procéder.</w:t>
      </w:r>
    </w:p>
    <w:p>
      <w:r>
        <w:rPr>
          <w:b/>
        </w:rPr>
        <w:t>E. 3.1</w:t>
      </w:r>
    </w:p>
    <w:p>
      <w:r>
        <w:t>Le recours en matière civile peut être formé pour violation du droit, tel qu'il est circonscrit par les art. 95 et 96 LTF . Le Tribunal fédéral applique le droit d'office ( art. 106 al. 1 LTF ). Cependant, vu l'exigence de motivation contenue à l' art. 42 al. 1 et 2 LTF , il n'examine en principe que les griefs soulevés; il n'est pas tenu de traiter, à l'instar d'une autorité de première instance, toutes les questions juridiques pouvant se poser, lorsqu'elles ne sont plus discutées devant lui ( ATF 140 III 86 consid. 2 p. 86 s. et les citations; ATF 140 III 115 consid. 2 p. 116).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p. 86).</w:t>
      </w:r>
    </w:p>
    <w:p>
      <w:r>
        <w:rPr>
          <w:b/>
        </w:rPr>
        <w:t>E. 3.2.1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p. 61). Le recourant qui soutient que les faits ont été établis d'une manière manifestement inexacte ( art. 97 al. 1 LTF ), à savoir arbitraire au sens de l' art. 9 Cst. ( ATF 133 II 249 consid. 1.2.2 p. 252), doit démontrer, par une argumentation précise, en quoi consiste cette violation ( art. 106 al. 2 LTF ); les critiques de nature appellatoire sont irrecevables ( ATF 133 III 585 consid. 4.1 p. 589).</w:t>
      </w:r>
    </w:p>
    <w:p>
      <w:r>
        <w:t>Il en résulte que les nombreux faits décrits par le recourant, qui ne figurent pas dans l'arrêt entrepris sans qu'il ne soit formulé de grief d'arbitraire à cet égard, ne seront tout simplement pas pris en considération. Il en va par exemple ainsi des considérations générales sur ses difficultés financières et sur les circonstances de la précarité dans laquelle vit la famille, des allégués sur les activités ou la formation des enfants, singulièrement de B.________, ainsi que des détails sur l'utilisation de moyens de communication modernes.</w:t>
      </w:r>
    </w:p>
    <w:p>
      <w:r>
        <w:rPr>
          <w:b/>
        </w:rPr>
        <w:t>E. 3.2.2</w:t>
      </w:r>
    </w:p>
    <w:p>
      <w:r>
        <w:t>Selon l' art. 99 al. 1 LTF , aucun fait nouveau ni preuve nouvelle ne peut être présenté devant le Tribunal fédéral, à moins de résulter de la décision de l'autorité précédente. Ainsi,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(arrêt 5A_291/2013 du 27 janvier 2014 consid. 2.2 et les références).</w:t>
      </w:r>
    </w:p>
    <w:p>
      <w:r>
        <w:t>En tant que le recourant produit en instance fédérale, sans autre justification, un lot de pièces qui n'ont précédemment pas été versées au dossier de la procédure, celles-ci sont irrecevables.</w:t>
      </w:r>
    </w:p>
    <w:p>
      <w:r>
        <w:rPr>
          <w:b/>
        </w:rPr>
        <w:t>E. 4</w:t>
      </w:r>
    </w:p>
    <w:p>
      <w:r>
        <w:t>L' 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p. 324; ATF 108 III 60 consid. 3 p. 65).</w:t>
      </w:r>
    </w:p>
    <w:p>
      <w:r>
        <w:t>La détermination du minimum indispensable est une question d'appréciation. Dans ce domaine, le Tribunal fédéral n'intervient donc qu'en cas d'abus ou d'excès, par exemple lorsque l'autorité cantonale a retenu des critères inappropriés ou n'a pas tenu compte de circonstances pertinentes ( ATF 132 III 281 consid. 2.1 p. 283 s.; 130 III 90 consid. 1 p. 92 s. et les références; arrêt 5A_252/2011 du 14 juillet 2011 consid. 2.1).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 ATF 134 III 323 consid. 2 p. 324 s.; arrêt 5A_525/2011 du 14 juillet 2011 consid. 2.2 in fine).</w:t>
      </w:r>
    </w:p>
    <w:p>
      <w:r>
        <w:rPr>
          <w:b/>
        </w:rPr>
        <w:t>E. 5</w:t>
      </w:r>
    </w:p>
    <w:p>
      <w:r>
        <w:t>Le recourant critique l'arrêt attaqué en évoquant, d'une part, la rémunération de son épouse, d'autre part, pour l'essentiel, diverses charges à prendre en considération dans la détermination de son minimum d'existence.</w:t>
      </w:r>
    </w:p>
    <w:p>
      <w:r>
        <w:rPr>
          <w:b/>
        </w:rPr>
        <w:t>E. 5.1</w:t>
      </w:r>
    </w:p>
    <w:p>
      <w:r>
        <w:t>Le recourant regrette que le fait que son épouse ait trouvé du travail " pousse " l'Office à ordonner une saisie de salaire; de plus, elle n'aurait pas de contrat de travail fixe et son emploi serait très précaire, ce qui ne permettrait dès lors pas d'assurer une retenue de 700 fr. par mois.</w:t>
      </w:r>
    </w:p>
    <w:p>
      <w:r>
        <w:t>La cour cantonale a tenu compte de la moyenne des revenus réalisés durant les mois qui ont précédé la saisie, signalant que si ceux-ci devaient avoir disparu ou baissé d'une manière significative postérieurement, il appartiendrait au débiteur de faire valoir ces circonstances nouvelles à l'appui d'une demande de révision de la saisie. Autant que la critique du recourant puisse être comprise comme une remise en cause du montant pris actuellement en compte au titre de salaire de son épouse, il ne s'en prend pas à la motivation de la cour cantonale ( art. 42 al. 2 LTF ; cf. supra consid. 3.1), tout en se prévalant de faits qui ne ressortent pas du dossier, partant irrecevables (cf. supra consid. 3.2.1). Le moyen est irrecevable.</w:t>
      </w:r>
    </w:p>
    <w:p>
      <w:r>
        <w:rPr>
          <w:b/>
        </w:rPr>
        <w:t>E. 5.2</w:t>
      </w:r>
    </w:p>
    <w:p>
      <w:r>
        <w:t>Le recourant conteste le refus de prise en compte des frais d'entretien du fils aîné de son épouse, B.________. Il expose qu'une telle attitude est injuste; dans le cadre du regroupement familial en 2011, singulièrement lors de l'arrivée en Suisse de B.________, déjà majeur, il avait dû signer une attestation de prise en charge financière, ce qui l'oblige à assurer son entretien et empêche les enfants d'avoir accès à l'aide sociale ou au chômage. Il serait par ailleurs inéquitable de tenir compte de la pension versée à E.________, mais non du soutien accordé aux enfants de son épouse. Quant à B.________, aurait beaucoup de difficulté à trouver une formation ou du travail, après avoir dû interrompre un apprentissage en raison de la faillite de son employeur.</w:t>
      </w:r>
    </w:p>
    <w:p>
      <w:r>
        <w:t>La cour cantonale, se référant aux conditions auxquelles un enfant majeur peut obliger ses parents à l'entretenir d'une part ( art. 277 al. 2 CC ), au caractère subsidiaire - eu égard aux ressources disponibles - du devoir d'entretien des beaux-parents d'autre part ( art. 278 al. 2 CC ), relève qu'au vu de leur situation financière, ni le recourant ni son épouse n'assument d'obligation légale d'entretien pour l'intéressé, désormais âgé de 23 ans et dont on peut attendre qu'il subvienne à son propre entretien en prenant un emploi rémunéré, démarche qu'il est en mesure d'effectuer; en particulier, l'engagement pris dans le contexte du regroupement familial ne crée pas une obligation légale vis-à-vis du jeune homme lui-même. Par sa critique, le recourant ne fait que réitérer sa désapprobation à l'égard des conséquences d'une réglementation qui ne lui permet plus de soutenir l'intéressé, précisant qu'il considère les enfants de son épouse comme les siens. Ce faisant, il ne s'en prend pas aux constatations de la cour cantonale et ne fait qu'opposer son appréciation à celle de cette dernière. Au surplus, il n'allègue ni a fortiori ne démontre que B.________ aurait effectué des démarches concrètes en vue de trouver un emploi rémunéré; de même, il se contente d'affirmer, sur un plan théorique, l'impossibilité pour lui de recourir à l'aide sociale, sans même se référer à une éventuelle démarche, vaine, en ce sens. Autant que recevable, le moyen est infondé.</w:t>
      </w:r>
    </w:p>
    <w:p>
      <w:r>
        <w:rPr>
          <w:b/>
        </w:rPr>
        <w:t>E. 5.3</w:t>
      </w:r>
    </w:p>
    <w:p>
      <w:r>
        <w:t>Sans en tirer de conséquences patrimoniales particulières ni en préciser l'impact chiffré sur la retenue de salaire, le recourant liste un certain nombre de frais qu'il a eu à supporter " depuis le début de l'année 2015 ", respectivement à des moments non précisés plus avant; il s'agit de factures de dentiste et de coûts de la santé, de frais d'entretien de son appartement, de frais de passeports, de frais découlant d'une panne de son véhicule, de frais d'écolage, de l'achat de lunettes et de nouveaux natels.</w:t>
      </w:r>
    </w:p>
    <w:p>
      <w:r>
        <w:t>S'agissant de divers postes de frais qui se recoupent avec ceux évoqués dans le présent recours, la cour cantonale a retenu qu'outre que ces dépenses n'apparaissaient pas certaines au jour de la saisie, elles étaient toutefois comprises dans le montant de base. Quant aux frais médicaux, dentaires et d'opticien, également couverts a priori par la base mensuelle fixe, la cour cantonale relève que l'Office a de surcroît retenu, en sus, un montant de 200 fr. par mois à ce titre. Si celui-ci devait être insuffisant, il appartiendrait alors au poursuivi de demander une révision de la saisie à cet égard. La critique du recourant, qui ne s'en prend aucunement au raisonnement de l'arrêt attaqué et se limite à exposer une liste de dépenses, est insuffisamment motivée, partant irrecevable (cf. supra consid. 3.1).</w:t>
      </w:r>
    </w:p>
    <w:p>
      <w:r>
        <w:rPr>
          <w:b/>
        </w:rPr>
        <w:t>E. 5.4</w:t>
      </w:r>
    </w:p>
    <w:p>
      <w:r>
        <w:t>Enfin, le recourant déplore la non prise en compte de " choses nécessaires à la vie moderne " qui, de son point de vue, devraient faire partie du minimum vital. Il donne l'exemple de l'abonnement TV, d'internet, d'ordinateurs et des téléphones portables, dont il explicite le besoin, puis d'abonnement de transports publics, ainsi que de frais de repas à l'extérieur pour la famille. Sa critique est d'emblée irrecevable à plusieurs égard, à savoir en raison de sa motivation insuffisante au regard de l'arrêt attaqué (cf. supra consid. 3.1), mais également en tant qu'elle concerne des éléments non discutés en instance cantonale (épuisement des instances; art. 75 LTF ) ou se base sur des faits non établis (cf. supra consid. 3.2.1). Au demeurant, les dépenses évoquées sont essentiellement incluses dans la base mensuelle.</w:t>
      </w:r>
    </w:p>
    <w:p>
      <w:r>
        <w:rPr>
          <w:b/>
        </w:rPr>
        <w:t>E. 6</w:t>
      </w:r>
    </w:p>
    <w:p>
      <w:r>
        <w:t>Au vu de ce qui précède, le recours doit être rejeté, dans la faible mesure de sa recevabilité, au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