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940/2020 vom 27. Januar 2021</w:t>
      </w:r>
    </w:p>
    <w:p>
      <w:r>
        <w:t>Bundesgericht, 2021-01-27, FR</w:t>
      </w:r>
    </w:p>
    <w:p>
      <w:r>
        <w:rPr>
          <w:b/>
        </w:rPr>
        <w:t xml:space="preserve">Quelle: </w:t>
      </w:r>
      <w:r>
        <w:t>https://mcp.opencaselaw.ch/entscheid/bger_5A_940_2020</w:t>
      </w:r>
    </w:p>
    <w:p>
      <w:r>
        <w:t>FR: TF 5A 940/2020 du 27 janvier 2021</w:t>
      </w:r>
    </w:p>
    <w:p>
      <w:r>
        <w:t>IT: TF 5A 940/2020 del 27 gennaio 2021</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145 IV 228 consid. 2.1; 144 III 462 consid. 3.2.3;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et la référence); les critiques appellatoires sont irrecevables ( ATF 145 IV 154 consid. 1.1; 141 IV 249 consid. 1.3.1).</w:t>
      </w:r>
    </w:p>
    <w:p>
      <w:r>
        <w:rPr>
          <w:b/>
        </w:rPr>
        <w:t>E. 3.1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et la référence). Le poursuivi peut se prévaloir de tous les moyens de droit civil - exceptions ou objections - qui infirment la reconnaissance de dette ( ATF 145 III 20 consid. 4.1.2 et la référence; 131 III 268 consid. 3.2). Des moyens comme ceux tirés de la violation de règles impératives prescrites à peine de nullité, ou de l'objet illicite ou contraire aux moeurs d'un contrat, doivent même être soulevés d'office par le juge de la mainlevée (arrêts 5A_490/2019 du 19 août 2019 consid. 3.1.2; 5A_303/2013 du 24 septembre 2013 consid. 4.1 i.f. ; 5A_878/2011 du 5 mars 2012 consid. 2.2, publié in RNRF 2015 p. 230). Le poursuivi n'a pas à apporter la preuve absolue (ou stricte) de ses moyens libératoires, mais seulement à les rendre vraisemblables, en principe par titre ( art. 254 al. 1 CPC ;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 ATF 142 III 720 consid. 4.1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 res iudicata ) quant à l'existence de la créance ( ATF 136 III 583 consid. 2.3 et les références; arrêt 5A_773/2020 du 22 décembre 2020 consid. 3.1). La décision du juge de la mainlevée provisoire ne prive pas les parties du droit de soumettre à nouveau la question litigieuse au juge ordinaire ( art. 79 et 83 al. 2 LP ; ATF 136 III 528 consid. 3.2; arrêt 5A_773/2020 précité consid. 3.1 et les références).</w:t>
      </w:r>
    </w:p>
    <w:p>
      <w:r>
        <w:rPr>
          <w:b/>
        </w:rPr>
        <w:t>E. 3.2</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w:t>
      </w:r>
    </w:p>
    <w:p>
      <w:r>
        <w:rPr>
          <w:b/>
        </w:rPr>
        <w:t>E. 3.2.1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 ATF 136 III 627 consid. 2 et les références; arrêts 5A_13/2020 du 11 mai 2020 consid. 2.5.1; 5A_473/2015 du 6 novembre 2015 consid. 5.3; 5A_303/2013 du 24 septembre 2013 consid. 4.1; 5A_326/2011 du 6 septembre 2011 consid. 3.2; cf. aussi ATF 140 III 456 consid. 2.2.1). La créance doit être exigible au plus tard au moment de l'introduction de la poursuite, à savoir lors de la notification du commandement de payer (arrêts 2C_781/2020 du 28 décembre 2020 consid. 5.2; 5A_785/2016 du 2 février 2017 consid. 3.2.2 et les références; VEUILLET, in La mainlevée de l'opposition, 2017, n° 95 ad art. 82 LP ).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 art. 82 LP (arrêts 5A_105/2019 du 7 août 2019 consid. 3.3.3; 5A_303/2013 du 24 septembre 2013 consid. 4.1; 5A_83/2011 du 2 septembre 2011 consid. 5.1, publié in SJ 2012 I p. 149).</w:t>
      </w:r>
    </w:p>
    <w:p>
      <w:r>
        <w:rPr>
          <w:b/>
        </w:rPr>
        <w:t>E. 3.2.2</w:t>
      </w:r>
    </w:p>
    <w:p>
      <w:r>
        <w:t>Lorsqu'il procède à l'interprétation du titre, le juge de la mainlevée provisoire ne peut prendre en compte que les éléments intrinsèques à ce titre, à l'exclusion des éléments extrinsèques qui échappent à son pouvoir d'examen ( ATF 145 III 20 consid. 4.3.3; arrêts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5A_65/2020 précité consid. 4.2.4; 5A_388/2019 précité consid. 4.1.3; 5A_89/2019 du 1er mai 2019 consid. 5.1.3; STAEHELIN, in Basler Kommentar SchKG, 2ème éd. 2010, n° 21 ad art. 82 LP ).</w:t>
      </w:r>
    </w:p>
    <w:p>
      <w:r>
        <w:rPr>
          <w:b/>
        </w:rPr>
        <w:t>E. 4.1</w:t>
      </w:r>
    </w:p>
    <w:p>
      <w:r>
        <w:t>Comme en instance cantonale, la recourante soutient que l'acte du 22 novembre 2017 serait absolument nul ( art. 19 et 20 CO ) car contraire à des règles impératives de droit public, soit les art. 40 let . e de la loi fédérale du 23 juin 2006 sur les professions médicales universitaires (LPMéd; RS 811.11) et 81 al. 1 de la loi vaudoise du 29 mai 1995 sur la santé publique (LSP/VD; BLV 800.01), ainsi qu'aux art. 4.6 let. c et d du Code de déontologie de la Société suisse des pharmaciens consacrant ces règles. Aussi, le contrat de prêt conclu entre les parties serait illicite en tant que la clause d'exclusivité contenue à son second paragraphe reviendrait à octroyer au poursuivant un avantage économique légalement prohibé. En outre, en orientant tous les patients uniquement auprès de la pharmacie du poursuivant, dit contrat priverait ceux-ci du libre choix du fournisseur de médicaments garanti par la loi. Ainsi que la cour cantonale l'a à juste titre constaté, la question de savoir à partir de quand il faut admettre une violation de l' art. 40 let . e LPMéd, qui impose notamment au professionnel concerné d'agir indépendamment de tout avantage financier, n'a pas encore été tranchée par le Tribunal fédéral et est débattue en doctrine (cf. arrêt 2C_1083/2012 du 21 février 2013 consid. 5.3). C'est dire que la prétendue nullité invoquée par la recourante est loin d'être évidente. Vu son pouvoir d'examen limité, cette question délicate échappe ainsi à la compétence du juge de la mainlevée, ce que la cour cantonale a en définitive retenu à bon droit. Il doit manifestement en aller de même pour ce qui est de la prétendue contrariété de l'acte litigieux à l' art. 81 al. 1 LSP /VD. Quant aux dispositions du Code de déontologie de la Société suisse des pharmaciens, dont la cour cantonale a constaté qu'il n'avait pas valeur de loi, on ne voit pas quelle portée propre elles auraient par rapport aux dispositions légales invoquées par la recourante; celle-ci ne peut donc rien en tirer à l'aune de son grief tiré d'une violation des art. 19 et 20 CO .</w:t>
      </w:r>
    </w:p>
    <w:p>
      <w:r>
        <w:rPr>
          <w:b/>
        </w:rPr>
        <w:t>E. 4.2</w:t>
      </w:r>
    </w:p>
    <w:p>
      <w:r>
        <w:t>Se plaignant d'une violation de l' art. 82 al. 1 LP , la recourante conteste que l'acte du 22 novembre 2017 constitue une reconnaissance de dette permettant l'obtention de la mainlevée. Selon elle, l'intitulé de l'acte ne devrait pas avoir de valeur probante " en l'état ". A la lecture du document, on constatait qu'elle ne reconnaissait pas expressément devoir une somme d'argent au poursuivant. Il était uniquement question que celui-ci lui octroie un prêt dont la modalité de remboursement était prévue au plus tard au 31 décembre 2018. La seule obligation qu'elle avait souscrite était donc une obligation d'exclusivité, à savoir celle de prendre la médication de ses patients auprès de la pharmacie du poursuivant. A suivre les juges cantonaux, qui n'avaient pas interprété l'acte dans son ensemble, il serait possible de prêter une somme d'argent qu'importe la cause, qu'elle soit valable ou pas, et d'en demander le remboursement par la voie de la poursuite. Or, en l'occurrence la " cause sous-jacente au prêt octroyé " était illicite. Une telle argumentation, infondée, frise la témérité. Outre que l'argument tiré de la prétendue nullité de l'acte litigieux a manqué sa cible (cf. supra consid. 4.1), force est d'admettre avec la cour cantonale que cet acte ne peut être compris que dans le sens d'un contrat de prêt d'une somme déterminée, soit 50'000 fr., qui vaut reconnaissance de dette pour le remboursement de dite somme, dès lors que la débitrice ne conteste pas qu'elle l'a reçue du poursuivant et que, vu le terme prévu, le remboursement était exigible à la date à laquelle celui-ci a fait notifier le commandement de payer à la recourante, sans qu'une interpellation préalable ait été nécessaire conformément à l'art. 318 i.i. CO.</w:t>
      </w:r>
    </w:p>
    <w:p>
      <w:r>
        <w:rPr>
          <w:b/>
        </w:rPr>
        <w:t>E. 4.3</w:t>
      </w:r>
    </w:p>
    <w:p>
      <w:r>
        <w:t>Dans un dernier moyen, toujours tiré d'une violation de l' art. 82 al. 1 LP , la recourante soutient que les juges cantonaux auraient dû refuser la mainlevée au motif que la reconnaissance de dette était conditionnelle. Le prêt octroyé était conditionné à l'exécution par ses soins de son obligation de se fournir exclusivement auprès du poursuivant. L'analyse de l'acte du 22 novembre 2017 laissait en effet apparaître, d'une part, que les conditions du remboursement du prêt étaient liées au respect de l'accord d'exclusivité conclu par les parties et, d'autre part, que ledit prêt pouvait être compensé par le bénéfice découlant des achats effectués par l'emprunteuse au sein de l'officine du prêteur dès lors que les termes " en contrepartie " avaient été utilisés. Il n'y avait du reste aucun intérêt à concéder un contrat d'exclusivité sans pouvoir bénéficier d'un prêt en conséquence. Il est exact que la jurisprudence a posé le principe selon lequel il convient de faire le départ entre la condition à la réalisation de laquelle le débiteur subordonne expressément le remboursement de la dette et la clause qui ne concerne qu'une simple modalité de remboursement de celle-ci (cf. supra consid. 3.2.1). Encore faut-il toutefois qu'il puisse être déduit des termes employés l'existence d'une obligation conditionnelle. Or, en l'occurrence, on ne voit pas qu'il y ait trace d'une quelconque condition qu'aurait posée la recourante et de l'avènement de laquelle dépendrait l'exigibilité de la dette. L'argumentation proposée à cet égard par la recourante, qui s'épuise en sa propre interprétation dudit acte, ne permet en effet pas d'infirmer la constatation de la cour cantonale, fondée sur les propres déclarations de la recourante, selon laquelle l'obligation de se fournir exclusivement auprès du poursuivant venait compenser le fait que le prêt était accordé sans intérêts. Le grief est infondé.</w:t>
      </w:r>
    </w:p>
    <w:p>
      <w:r>
        <w:rPr>
          <w:b/>
        </w:rPr>
        <w:t>E. 5</w:t>
      </w:r>
    </w:p>
    <w:p>
      <w:r>
        <w:t>En définitive, le recours doit être rejeté. La recourante,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