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5A_940/2018 vom 23. August 2019</w:t>
      </w:r>
    </w:p>
    <w:p>
      <w:r>
        <w:t>Bundesgericht, 2019-08-23, DE</w:t>
      </w:r>
    </w:p>
    <w:p>
      <w:r>
        <w:rPr>
          <w:b/>
        </w:rPr>
        <w:t xml:space="preserve">Quelle: </w:t>
      </w:r>
      <w:r>
        <w:t>https://mcp.opencaselaw.ch/entscheid/bger_5A_940_2018</w:t>
      </w:r>
    </w:p>
    <w:p>
      <w:r>
        <w:t>FR: TF 5A_940/2018 du 23 août 2019</w:t>
      </w:r>
    </w:p>
    <w:p>
      <w:r>
        <w:t>IT: TF 5A_940/2018 del 23 agosto 2019</w:t>
      </w:r>
    </w:p>
    <w:p>
      <w:pPr>
        <w:pStyle w:val="Heading2"/>
      </w:pPr>
      <w:r>
        <w:t>Erwägungen</w:t>
      </w:r>
    </w:p>
    <w:p>
      <w:r>
        <w:rPr>
          <w:b/>
        </w:rPr>
        <w:t>E. 4.1</w:t>
      </w:r>
    </w:p>
    <w:p>
      <w:r>
        <w:t>Für den - nun eingetretenen - Fall, dass es hinsichtlich des Zeitpunkts der Mandatsannahme mit dem angefochtenen Entscheid sein Bewenden hat (E. 3), beteuert der Beschwerdeführer, "keine Pflichten verletzt" zu haben. Ein Willensvollstrecker könne nur dann Pflichten verletzen, wenn er wisse, dass er Willensvollstrecker ist; dieses Wissen habe ihm vor dem 7. Mai 2018 offensichtlich gefehlt. Die unhaltbare Erwägung des Obergerichts, wonach ihm nicht bloss grobe Unsorgfalt, sondern auch widersprüchliches Verhalten zur Last zu legen sei, fusse auf der falschen Ansicht, dass er mit der Praxis der EG V.________ betreffend die amtliche Mitteilung vertraut gewesen sei. Der Beschwerdeführer tadelt den Vorwurf, den Grundsatz von Treu und Glauben missachtet zu haben, als "höchst stossend"; die Vorinstanz habe sich noch nicht einmal die Mühe genommen, sich bei ihm zu erkundigen, ob ihre aus der Luft gegriffene Behauptung betreffend seine Kenntnis der Praxis der EG V.________ zutrifft.</w:t>
      </w:r>
    </w:p>
    <w:p>
      <w:r>
        <w:rPr>
          <w:b/>
        </w:rPr>
        <w:t>E. 4.2</w:t>
      </w:r>
    </w:p>
    <w:p>
      <w:r>
        <w:t>All diese Vorwürfe laufen ins Leere. Ob der Beschwerdeführer in der Zeit vor dem 7. Mai 2018 irgendwelche Pflichten verletzt hat, die ihm aus seinem Auftrag als Willensvollstrecker erwachsen, ist nicht Gegenstand des angefochtenen Entscheids und deshalb heute auch nicht Thema vor Bundesgericht. Im Streit um die behördliche Anweisung an den Beschwerdeführer, Aufschluss über seine bisherige Tätigkeit als Willensvollstrecker Aufschluss zu geben (s. Sachverhalt Bst. C.d), dreht sich der vorliegende Prozess um die (Vor-) Frage, in welchem Zeitpunkt der Beschwerdeführer sein Mandat angenommen hat. Soweit die Vorinstanz das Verhalten des Beschwerdeführers als unsorgfältig oder widersprüchlich beurteilt, steht auch diese Einschätzung im Zusammenhang mit der Frage, wann der Auftrag angenommen wurde. Wie die vorigen Erwägungen zeigen, ist der angefochtene Entscheid diesbezüglich nicht zu beanstanden. Insbesondere kommt es für den Ausgang der Auseinandersetzung auch nicht darauf an, ob dem Beschwerdeführer eine angebliche Praxis der EG V.________ hätte vertraut sein müssen (E. 3.4).</w:t>
      </w:r>
    </w:p>
    <w:p>
      <w:r>
        <w:t>Unbegründet ist schliesslich die Befürchtung des Beschwerdeführers, dass es sich nicht mit der Rechtssicherheit vertrage, wenn die Vorinstanz irgendein von der Gemeinde versandtes Dokument im Nachhinein als amtliche Mitteilung qualifiziere, und dass zahlreiche Willensvollstrecker das Mandat unbewusst durch Stillschweigen annehmen würden, sollte der angefochtene Entscheid geschützt werden. Wie die vorinstanzlichen Feststellungen zeigen, handelte es sich im konkreten Fall, den allein es hier zu beurteilen gilt, nicht um irgendein Dokument, sondern um die amtliche Testamentseröffnung, die den Beschwerdeführer an prominenter Stelle als Willensvollstrecker nennt und die dem Beschwerdeführer auch zugestellt wurde. Vom Beschwerdeführer, der als Jurist auch das Anwalts- und das Notariatspatent erlangt hat, konnte erwartet werden, dass er - im Wissen um die gesetzliche Frist nach Art. 517 Abs. 2 ZGB - rechtzeitig auf das Schreiben vom 15. November 2016 reagierte und sich der zuständigen Behörde gegenüber unmissverständlich erklärte, falls er mit der Willensvollstreckung nichts zu tun haben wollte.</w:t>
      </w:r>
    </w:p>
    <w:p>
      <w:r>
        <w:rPr>
          <w:b/>
        </w:rPr>
        <w:t>E. 5</w:t>
      </w:r>
    </w:p>
    <w:p>
      <w:r>
        <w:t>Im Ergebnis ist die Beschwerde abzuweisen, verbunden mit der erwähnten Ansetzung einer neuen Frist. Der Beschwerdeführer unterliegt. Er hat deshalb für die Gerichtskosten aufzukommen ( Art. 66 Abs. 1 Satz 1 BGG ). Der Beschwerdegegnerin, die sich lediglich zum Gesuch um aufschiebende Wirkung zu vernehmen hatte, mit ihrem dort gestellten Begehren aber nicht durchdrang, ist keine 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