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5A_936/2020 vom 15. Juli 2021</w:t>
      </w:r>
    </w:p>
    <w:p>
      <w:r>
        <w:t>Bundesgericht, 2021-07-15, FR</w:t>
      </w:r>
    </w:p>
    <w:p>
      <w:r>
        <w:rPr>
          <w:b/>
        </w:rPr>
        <w:t xml:space="preserve">Quelle: </w:t>
      </w:r>
      <w:r>
        <w:t>https://mcp.opencaselaw.ch/entscheid/bger_5A_936_2020</w:t>
      </w:r>
    </w:p>
    <w:p>
      <w:r>
        <w:t>FR: TF 5A_936/2020 du 15 juillet 2021</w:t>
      </w:r>
    </w:p>
    <w:p>
      <w:r>
        <w:t>IT: TF 5A_936/2020 del 15 luglio 2021</w:t>
      </w:r>
    </w:p>
    <w:p>
      <w:pPr>
        <w:pStyle w:val="Heading2"/>
      </w:pPr>
      <w:r>
        <w:t>Erwägungen</w:t>
      </w:r>
    </w:p>
    <w:p>
      <w:r>
        <w:rPr>
          <w:b/>
        </w:rPr>
        <w:t>E. 1</w:t>
      </w:r>
    </w:p>
    <w:p>
      <w:r>
        <w:t>Le recours en matière civile est recevable (art. 72 al. 1, 74 al. 1 let. b, 75, 76 al. 1, 90 et 100 al. 1 LTF).</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c'est-à-dire arbitraire au sens de l' art. 9 Cst. ( ATF 144 II 246 consid. 6.7; 143 I 310 consid. 2.2 et la référence), ou en violation du droit au sens de l' art. 95 LTF ( art. 105 al. 2 LTF ), et si la correction du vice est susceptible d'influencer le sort de la cause ( art. 97 al. 1 LTF ).</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invoque d'abord la violation des art. 651 al. 2 et 4 CC , prétendant de surcroît que l'application de ces dispositions se fonderait sur une appréciation manifestement inexacte des faits.</w:t>
      </w:r>
    </w:p>
    <w:p>
      <w:r>
        <w:rPr>
          <w:b/>
        </w:rPr>
        <w:t>E. 3.1</w:t>
      </w:r>
    </w:p>
    <w:p>
      <w:r>
        <w:t>La cour cantonale a d'abord souligné que les parties ne contestaient pas le mode de partage décidé par le premier juge, à savoir le partage en nature des deux biens immobiliers; seule restait litigieuse l'attribution de ceux-ci.</w:t>
      </w:r>
    </w:p>
    <w:p>
      <w:r>
        <w:t>Elle a considéré à cet égard que les deux parties se trouvaient dans une situation d'égalité parfaite vis-à-vis des deux biens-fonds, cela tant d'un point de vue financier et administratif que sous l'angle de leur implication dans la gestion des travaux que les deux immeubles avaient nécessités. Contrairement à ce qu'affirmait le recourant, l'issue de la procédure administrative relative à l'annulation de l'autorisation de construire délivrée à E.________ n'était pas déterminante pour constater l'existence d'un lien particulier entre l'une des parties et l'un des immeubles. En décidant ainsi d'accorder plus de poids au fait que l'intimé avait favorisé la voie transactionnelle dans le cadre du conflit opposant les parties à E.________ et en prenant en considération que le recourant n'avait pas assumé la gestion administrative de l'immeuble Y.________ alors qu'il s'était chargé pendant de nombreuses années de celle de l'immeuble X.________, le Tribunal n'avait pas abusé de son pouvoir d'appréciation en attribuant le premier immeuble à l'intimé et le second au recourant.</w:t>
      </w:r>
    </w:p>
    <w:p>
      <w:r>
        <w:rPr>
          <w:b/>
        </w:rPr>
        <w:t>E. 3.2</w:t>
      </w:r>
    </w:p>
    <w:p>
      <w:r>
        <w:t>Le recourant estime en revanche que l'immeuble Y.________ devait lui revenir dès lors qu'il y était plus étroitement lié. Il reproche à la cour cantonale d'avoir d'abord occulté le fait que l'intimé était intervenu dans la gestion de l'immeuble X.________ en décidant unilatéralement d'octroyer la location d'un de ses appartements à l'un de ses employés pour en percevoir directement les loyers, au détriment de la copropriété. Agissant comme un propriétaire unique, il aurait ainsi démontré le lien particulier qui l'unirait à cet immeuble. L'autorité cantonale aurait ensuite méconnu la portée de l'arrêt du Tribunal fédéral 1C_510/2018. Pour l'essentiel, le recourant soutient à ce dernier égard que l'arrêt précité confirmait les graves inconvénients qu'aurait subi l'immeuble Y.________ si le projet de construction de E.________ sur la parcelle voisine devait être mené à son terme. Or alors que lui-même s'était " engagé bec et ongles " contre le projet de E.________ et avait avec succès " porté à bout de bras les procédures [l']émaillant " afin de préserver la copropriété d'une dévalorisation certaine, l'intimé avait pour sa part préféré cautionner ce projet invraisemblable, pour lequel aucune voie transactionnelle n'était envisageable. Mettant enfin son activité constante en faveur des deux immeubles en opposition avec la passivité chronique de l'intimé à leur égard, le recourant en déduit qu'en retenant que sa partie adverse avait un lien plus étroit avec l'immeuble Y.________, la cour cantonale avait procédé à une pesée des intérêts " inepte " et arbitraire, confinant à l'injustice.</w:t>
      </w:r>
    </w:p>
    <w:p>
      <w:r>
        <w:rPr>
          <w:b/>
        </w:rPr>
        <w:t>E. 3.3.1</w:t>
      </w:r>
    </w:p>
    <w:p>
      <w:r>
        <w:t>La fin de la copropriété emprunte nécessairement les deux étapes suivantes : le principe du partage ( art. 650 CC ), puis sa mise en oeuvre ( art. 651 CC ), seule ici litigieuse.</w:t>
      </w:r>
    </w:p>
    <w:p>
      <w:r>
        <w:t>L' art. 651 al. 1 CC laisse les copropriétaires libres de partager la copropriété comme ils le veulent. Ceux-ci peuvent ainsi partager l'objet en nature, procéder à une vente de gré à gré ou aux enchères avec répartition subséquente du prix; il est également envisageable qu'un ou plusieurs copropriétaires reprennent la part des autres. Si les copropriétaires ne s'entendent pas sur le mode de partage, chacun d'eux peut ouvrir l'action en partage ( art. 651 al. 2 CC ). Le juge détermine alors le mode de partage. Il ne peut toutefois le fixer totalement librement: il est en effet d'abord lié par les conclusions concordantes des parties à cet égard, même si les modalités en sont encore litigieuses (p. ex. les parties ont manifesté la volonté d'exclure la vente aux enchères publiques ou ne s'entendent pas sur la partie qui doit se voir attribuer la chose, tout en étant d'accord sur la reprise de la part des autres par un propriétaire; arrêts 5A_62/2015 du 28 avril 2015 consid. 2.3 et les références doctrinales; 5A_411/2013 du 25 septembre 2014 consid. 4.3.1 publié in SJ 2015 I 247 consid. 4; MEIER-HAYOZ, Berner Kommentar, n° 21 ad art. 651 CC ); à défaut d'accord entre les copropriétaires, le juge statue alors selon sa libre appréciation ( art. 4 CC ), mais dans les limites de l' art. 651 al. 2 CC : il ne peut ainsi qu'ordonner le partage en nature ou, si la chose ne peut être divisée sans diminution notable de sa valeur, la vente, soit aux enchères publiques, soit entre copropriétaires (arrêt 5A_62/2015 précité, ibid.), ces deux modes étant exhaustifs; sans l'accord de toutes les parties, le juge ne peut ainsi imposer une autre solution (BRUNNER/WICHTERMANN, in Basler Kommentar, ZGB II, 6e éd. 2019, n° 12 ad art. 651 CC ; PERRUCHOUD, in Commentaire romand, Code civil II, 2016, n° 29 ad art. 651 CC et les références).</w:t>
      </w:r>
    </w:p>
    <w:p>
      <w:r>
        <w:t>Pour prendre sa décision, le juge ne se fondera pas seulement sur le caractère divisible, sans diminution notable de valeur, de la chose; il tiendra compte de la situation d'espèce, des circonstances personnelles, des besoins et aspirations des copropriétaires. Son jugement sera fonction de la nature de la chose et de l'équité ( art. 4 CC ). S'il se révèle que le partage en nature et la vente aux enchères auront des effets à peu près équivalents pour les deux copropriétaires, ce n'est que si le partage matériel peut être réalisé d'une manière raisonnable et qu'il confère à chacun sa part que le juge l'ordonnera. Seule cette interprétation permet au juge de tenir compte de tous les éléments du problème et d'éviter de rendre, dans la mesure du possible, une décision inéquitable. Il appartient ainsi au juge de décider, selon ces mêmes principes, si l'importance de la soulte à payer pour compenser soit l'inégalité des parts de copropriété soit le fait que la chose ne peut être divisée en parts égales ( art. 651 al. 3 CC ) ne constitue pas un obstacle au partage en nature ( ATF 100 II 187 consid. 2e).</w:t>
      </w:r>
    </w:p>
    <w:p>
      <w:r>
        <w:rPr>
          <w:b/>
        </w:rPr>
        <w:t>E. 3.3.2</w:t>
      </w:r>
    </w:p>
    <w:p>
      <w:r>
        <w:t>L'autorité cantonale appelée à statuer en équité dispose d'un large pouvoir d'appréciation. Le Tribunal fédéral n'intervient à cet égard qu'en cas d'excès ou d'abus,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3.4.1</w:t>
      </w:r>
    </w:p>
    <w:p>
      <w:r>
        <w:t>Il s'agit avant tout de souligner que, devant l'autorité cantonale, les parties ont chacune conclu à un partage en nature des biens immobiliers dont elles étaient copropriétaires, les conclusions subsidiaires prises devant le premier juge ayant été abandonnées. La cour cantonale était ainsi liée par ces conclusions concordantes (</w:t>
      </w:r>
    </w:p>
    <w:p>
      <w:r>
        <w:t>supra consid. 3.3.1; cf. également la maxime de disposition [ art. 58 CPC ]).</w:t>
      </w:r>
    </w:p>
    <w:p>
      <w:r>
        <w:rPr>
          <w:b/>
        </w:rPr>
        <w:t>E. 3.4.2</w:t>
      </w:r>
    </w:p>
    <w:p>
      <w:r>
        <w:t>Il convient ensuite de relever que le recourant ne prétend pas que les parts issues du partage ordonné par la cour cantonale ne seraient pas d'égale valeur; en adhérant au partage en nature, il a au demeurant accepté le risque d'une attribution insatisfaisante, inhérent au mode de partage ici choisi.</w:t>
      </w:r>
    </w:p>
    <w:p>
      <w:r>
        <w:t>Au surplus, l'étroitesse du lien unissant les parties aux immeubles, critère d'attribution choisi par la cour cantonale pour départager celles-ci, n'est pas remise en cause par le recourant; les critiques qu'il développe quant à son application concrète sont de surcroît essentiellement appellatoires et ainsi insuffisantes à retenir que la juridiction aurait excédé son pouvoir d'appréciation sur ce point. Certes, le recourant s'est montré nettement plus actif que l'intimé dans le processus d'acquisition, dans la gestion et l'administration des deux biens-fonds; ainsi que l'a relevé à juste titre la cour cantonale, cette circonstance ne permet pas d'en déduire un lien plus étroit avec l'un des deux immeubles. L'on ne saurait par ailleurs reprocher à l'autorité cantonale d'avoir injustement apprécié l'absence de caractère décisif de l'issue de la procédure liée à l'annulation de l'autorisation de construire délivrée à E.________: d'une part, le caractère " invraisemblable " et non susceptible de transaction du projet ne ressort pas des faits, mais relève de l'appréciation personnelle du recourant, le Tribunal de céans ayant certes retenu, sous l'angle de l'arbitraire, les graves inconvénients du projet, tout en jugeant néanmoins défendables les arguments développés par E.________ pour l'appuyer; d'autre part, il faut admettre, avec la cour cantonale, la faible probabilité que l'intimé, en tant que copropriétaire de la parcelle Y.________, eût accepté la dévalorisation de celle-ci par un projet de construction auquel il collaborait, les motifs vénaux, avancés par le recourant, s'appuyant, une fois encore, sur sa seule appréciation. Il ressort par ailleurs des témoignages instruits en cours de procédure et de la motivation développée par l'intimé dans sa réponse que la perception unilatérale d'un loyer de l'immeuble X.________ par l'intimé s'inscrit dans le contexte du litige opposant les parties, en sorte que l'on ne saurait retenir de ce fait l'existence d'un lien de gestion particulier entre l'intimé et ledit immeuble. Confirmer la décision du premier juge en privilégiant l'attitude transactionnelle de l'intimé dans le cadre du projet de E.________ pour lui attribuer l'immeuble Y.________ et en tenant compte de la gestion administrative de l'immeuble X.________ par le recourant - non contestée par celui-ci - pour lui octroyer cette dernière parcelle apparaît ainsi exempt de tout écart d'appréciation de la part de l'autorité cantonale.</w:t>
      </w:r>
    </w:p>
    <w:p>
      <w:r>
        <w:rPr>
          <w:b/>
        </w:rPr>
        <w:t>E. 4</w:t>
      </w:r>
    </w:p>
    <w:p>
      <w:r>
        <w:t>Le recourant s'en prend également au refus de la cour cantonale d'admettre ses conclusions reconventionnelles en paiement de ses honoraires et débours d'architecte.</w:t>
      </w:r>
    </w:p>
    <w:p>
      <w:r>
        <w:rPr>
          <w:b/>
        </w:rPr>
        <w:t>E. 4.1</w:t>
      </w:r>
    </w:p>
    <w:p>
      <w:r>
        <w:t>Si la cour cantonale a admis l'existence de prestations d'architecte de la part du recourant, elle a néanmoins considéré que la question de sa rémunération, élément essentiel du contrat d'architecte, ne faisait l'objet d'aucun accord écrit entre les parties. Se fondant sur les circonstances entourant le conflit ainsi que sur différents témoignages instruits en cours de procédure, la juridiction cantonale en a déduit la réelle et commune volonté des parties de ne pas rétribuer les prestations d'architecte fournies par le recourant ou son "bureau", à tout le moins pendant la durée de la copropriété. Les éventuelles conséquences de son partage sur l'exigibilité des honoraires réclamés n'avaient cependant pas à être examinées en tant que les factures produites ne permettaient pas de démontrer l'accord de l'intimé quant aux montants des prestations facturées ni la justification de ceux-ci par rapport à l'activité déployée; à cela s'ajoutait encore la question de l'identité imprécise des débiteurs et du créancier ressortant des factures établies par le recourant, imprécision soulignée par la cour cantonale pour en déduire le vraisemblable caractère pro forma des factures sur lesquelles le recourant fondait ses prétentions reconventionnelles.</w:t>
      </w:r>
    </w:p>
    <w:p>
      <w:r>
        <w:rPr>
          <w:b/>
        </w:rPr>
        <w:t>E. 4.2</w:t>
      </w:r>
    </w:p>
    <w:p>
      <w:r>
        <w:t>En tant que les conséquences de la fin de copropriété sur l'éventuelle exigibilité des honoraires d'architectes réclamés par le recourant n'ont pas été examinées par la cour cantonale, il convient de s'arrêter à la question de la valeur probante des factures établies par l'intéressé, suffisante à elle seule à sceller le sort du litige sur ce point.</w:t>
      </w:r>
    </w:p>
    <w:p>
      <w:r>
        <w:rPr>
          <w:b/>
        </w:rPr>
        <w:t>E. 4.2.1</w:t>
      </w:r>
    </w:p>
    <w:p>
      <w:r>
        <w:t>Le contrat d'architecte n'est pas réglé spécifiquement dans la loi et peut recouvrir différentes prestations, telles que l'établissement de plans et d'autres documents concernant des travaux de construction ou de transformation d'un immeuble (sur ce contrat, cf. notamment: ATF 145 III 190 consid. 4.2; arrêt 4A_508/2019 du 9 juillet 2020 consid. 3 et les nombreuses références). Lorsque l'architecte s'oblige en sus à diriger ces travaux, on est en présence d'un contrat d'architecte global. Selon la jurisprudence, il s'agit d'un contrat mixte, qui est soumis, selon les prestations à fournir par l'architecte, aux règles du mandat ou à celles du contrat d'entreprise ( ATF 134 III 361 consid. 5.1 et 6.2.2; 127 III 543 consid. 2a; arrêts 4A_190/2019 du 8 octobre 2019 consid. 5.1 non publié aux ATF 145 III 506 ; 4A_89/2017 du 2 octobre 2017 consid. 4 et les références). Lorsque les parties n'ont pas explicitement prévu de rémunération, ces prestations-là autorisent l'architecte à réclamer la rémunération usuelle selon l' art. 394 al. 3 CO , celles-ci, le prix à déterminer d'après la valeur du travail fourni et les dépenses encourues, selon l' art. 374 CO ; l' art. 394 al. 3 CO est cependant appliqué à l'ensemble des prestations car une distinction entre les deux catégories n'engendrerait pratiquement aucune différence dans le résultat (arrêt 4A_230/2013 du 17 septembre 2013 consid. 2 et la référence doctrinale; cf. également 4A_89/2017 précité consid. 5 et 5.2).</w:t>
      </w:r>
    </w:p>
    <w:p>
      <w:r>
        <w:rPr>
          <w:b/>
        </w:rPr>
        <w:t>E. 4.2.2</w:t>
      </w:r>
    </w:p>
    <w:p>
      <w:r>
        <w:t>Invoquant l' art. 374 CO , le recourant prétend que les factures sur lesquelles il fonde sa rémunération ont été établies d'après la valeur de son travail et les dépenses consenties. Or ainsi que l'a relevé à juste titre la cour cantonale, les factures produites par le recourant ne permettent pas de démontrer que la rémunération exigée serait en adéquation par rapport à l'activité déployée, ou, du moins usuelle (cf. art. 394 al. 3 CO ), la simple affirmation de l'intéressé en ce sens étant à cet égard manifestement insuffisante. Le refus de la cour cantonale d'ordonner une expertise à ce sujet est certes invoqué par le recourant, sans toutefois que les enjeux de cette remarque soient réellement développés. Il ressort des considérations factuelles de l'arrêt entrepris que, devant la cour cantonale, le recourant avait conclu à ce qu'il lui soit " réservé le droit " de requérir d'autres preuves, notamment une expertise; il n'établit cependant pas en avoir sollicité l'administration ultérieurement, étant évident que le fardeau de la preuve lui incombait pourtant sur ce point, ainsi que le relève d'ailleurs à juste titre l'intimé.</w:t>
      </w:r>
    </w:p>
    <w:p>
      <w:r>
        <w:rPr>
          <w:b/>
        </w:rPr>
        <w:t>E. 5</w:t>
      </w:r>
    </w:p>
    <w:p>
      <w:r>
        <w:t>Les considérations qui précèdent conduisent au rejet du recours, dans la mesure où il est recevable. Les frais judiciaires sont arrêtés en fonction des conclusions restées litigieuses devant l'instance précédente - soulte et créances d'honoraires - et en référence au Tarif des émoluments judiciaires du Tribunal fédéral (RS 173.110.210.1). De même que les dépens, ils sont mis à la charge du recourant qui succombe (art. 66 al. 1, 68 al. 1et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