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936/2019 vom 7. Dezember 2020</w:t>
      </w:r>
    </w:p>
    <w:p>
      <w:r>
        <w:t>Bundesgericht, 2020-12-07, DE</w:t>
      </w:r>
    </w:p>
    <w:p>
      <w:r>
        <w:rPr>
          <w:b/>
        </w:rPr>
        <w:t xml:space="preserve">Quelle: </w:t>
      </w:r>
      <w:r>
        <w:t>https://mcp.opencaselaw.ch/entscheid/bger_5A_936_2019</w:t>
      </w:r>
    </w:p>
    <w:p>
      <w:r>
        <w:t>FR: TF 5A 936/2019 du 7 décembre 2020</w:t>
      </w:r>
    </w:p>
    <w:p>
      <w:r>
        <w:t>IT: TF 5A 936/2019 del 7 dicembre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der Beschwerdegegnerin offen. Der Entscheid der Aufsichtsbehörde müsse nicht abgewartet werden, da ein solcher für das vorliegende Verfahren nicht von Bedeutung sei. In diesem Zusammenhang betonte die Vorinstanz, dass die Rechtsanwälte der Beschwerdegegnerin zwar ins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In der Sache besteht nach Ansicht der Vorinstanz kein Anlass, den Zahlungsbefehl in der Betreibung Nr. fff des Betreibungsamtes U.________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fff unter der Rubrik "Forderungsurkunde mit Datum oder Angabe des Forderungsgrundes" folgende Angaben: "Prosequierung des Arrestes Nr. eee/Rechtskr. Entscheid des Bundesgerichtes vom 18.09.18 (Verfahren Nr. 2C_799/2017 und 2C_800/2017) betr. die dir. Bundessteuer (Nachsteuern 2005-2009 und ordentliche Steuern 2010-2013), die Veranlagungsverf. vom 26.01.16 betreffend die dir. Bundessteuer (ord. Steuern 2010-2013), die Nachsteuerverfügung vom 27.01.16 betreffend die dir. Bundessteuer (Nachsteuern 2005-2009) die Steuerrechnung vom 04.10.18 betreffend die dir. Bundessteuer (Nachsteuern 2005-2009), die Steuerrechnungen vom 11.02.16 betreffend die dir. Bundessteuer (ordentliche Steuern 2010-2013). CHF 28'957'183.85 Zins 3 % seit 01.03.2016 CHF 9'970'770.80 Zins zu 3 % seit 13.03.2016" 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 zu 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4.2.2</w:t>
      </w:r>
    </w:p>
    <w:p>
      <w:r>
        <w:t>Nach Ansicht des Beschwerdeführers ist es offensichtlich, dass der Zahlungsbefehl Nr. fff an wesentlichen Mängeln leidet und daher nichtig erklärt bzw. zumindest aufgehoben werden muss. Zur Begründung führt er insbesondere aus, auf dem Zahlungsbefehl würden die Forderungsurkunden vermischt und für die 2. Position von knapp Fr. 10'000'000.-- werde gar keine Forderungsurkunde angeführt. Er könne daher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von der Beschwerdegegnerin betrieben werde. Immerhin ergibt sich aus dem Zahlungsbefehl klar, für welche Steuern (direkte Bundessteuern) und welche Steuerperioden (2010 bis 2013 sowie 2005 bis 2009) er aufgrund von rechtskräftigen Einschätzungen und Veranlagungen betrieben wird. Die Aufteilung auf zwei Beträge ist einzig auf den unterschiedlichen Zinsenlauf zurückzuführen.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die Beschwerdegegnerin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 Der Beschwerdegegnerin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