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5A_936/2013 vom 8. Juli 2014</w:t>
      </w:r>
    </w:p>
    <w:p>
      <w:r>
        <w:t>Bundesgericht, 2014-07-08, FR</w:t>
      </w:r>
    </w:p>
    <w:p>
      <w:r>
        <w:rPr>
          <w:b/>
        </w:rPr>
        <w:t xml:space="preserve">Quelle: </w:t>
      </w:r>
      <w:r>
        <w:t>https://mcp.opencaselaw.ch/entscheid/bger_5A_936_2013</w:t>
      </w:r>
    </w:p>
    <w:p>
      <w:r>
        <w:t>FR: TF 5A_936/2013 du 8 juillet 2014</w:t>
      </w:r>
    </w:p>
    <w:p>
      <w:r>
        <w:t>IT: TF 5A_936/2013 del 8 luglio 2014</w:t>
      </w:r>
    </w:p>
    <w:p>
      <w:pPr>
        <w:pStyle w:val="Heading2"/>
      </w:pPr>
      <w:r>
        <w:t>Erwägungen</w:t>
      </w:r>
    </w:p>
    <w:p>
      <w:r>
        <w:rPr>
          <w:b/>
        </w:rPr>
        <w:t>E. 1</w:t>
      </w:r>
    </w:p>
    <w:p>
      <w:r>
        <w:t>Le présent recours a été déposé en temps utile ( art. 100 al. 1 LTF ) contre une décision finale ( art. 90 LTF ; ATF 133 III 393 consid. 4 p. 395 s.) rendue sur recours par une autorité supérieure ( art. 75 LTF ), dans une affaire matrimoniale ( art. 172 ss CC ; art. 72 al. 1 LTF ) de nature pécuniaire qui atteint la valeur litigieuse requise (art. 51 al. 1 ch. 4 et 74 al. 1 let. b LTF). La recourante a en outre pris part à la procédure devant l'autorité précédente et a un intérêt à l'annulation ou à la modification de la décision attaquée ( art. 76 al. 1 LTF ). Le recours en matière civile est ainsi en principe recevable.</w:t>
      </w:r>
    </w:p>
    <w:p>
      <w:r>
        <w:rPr>
          <w:b/>
        </w:rPr>
        <w:t>E. 2.1.1</w:t>
      </w:r>
    </w:p>
    <w:p>
      <w:r>
        <w:t>Concluant formellement à l'annulation du jugement de première instance, la recourante avait soulevé deux griefs dans son appel cantonal. D'une part, elle avait reproché au tribunal inférieur d'avoir admis sa compétence pour statuer au-delà du 1</w:t>
      </w:r>
    </w:p>
    <w:p>
      <w:r>
        <w:t>er février 2013, date à laquelle le juge saisi de l'action en divorce avait prononcé une ordonnance de mesures provisionnelles (cf. supra, consid. D.b). D'autre part, elle s'en était prise à son refus d'ordonner l'apport de cette dernière procédure et s'était plainte du caractère obsolète des pièces sur lesquelles il s'était fondé. L'intimé avait quant à lui notamment critiqué la décision sur l'entretien.</w:t>
      </w:r>
    </w:p>
    <w:p>
      <w:r>
        <w:rPr>
          <w:b/>
        </w:rPr>
        <w:t>E. 2.1.2</w:t>
      </w:r>
    </w:p>
    <w:p>
      <w:r>
        <w:t>Par économie de procédure, la Cour de justice a traité les deux appels dans un même arrêt. S'agissant plus particulièrement de celui de l'épouse, elle l'a déclaré, à la forme, irrecevable ainsi que les pièces produites à son appui.</w:t>
      </w:r>
    </w:p>
    <w:p>
      <w:r>
        <w:t>Après avoir exposé les principes applicables à la formulation des conclusions en instance d'appel, l'autorité cantonale a relevé que l'appelante s'était abstenue de prendre des conclusions au fond tendant au rejet de la demande en modification des mesures protectrices, conclusions qui ne résultaient par ailleurs pas de la motivation. Elle a toutefois jugé que, sous peine de faire preuve de formalisme excessif, elle ne pouvait prononcer l'irrecevabilité de l'appel sans avoir examiné le bien-fondé du grief qui pouvait conduire au renvoi. A cet égard, elle a retenu que, sous l'angle du droit d'être entendu et du droit à la preuve invoqués par l'appelante, le refus du Tribunal de première instance d'ordonner l'apport de la procédure de divorce et de mesures provisionnelles était justifié.</w:t>
      </w:r>
    </w:p>
    <w:p>
      <w:r>
        <w:t>Elle a encore ajouté que cette autorité ne s'était pas appuyée sur des pièces obsolètes, dès lors qu'elle avait pris en considération non seulement le rapport d'expertise familiale du 7 juillet 2011, mais aussi les indications fournies par la mère dans sa demande de renouvellement de visa de 2012, l'échec des traitements faits à Washington et l'inquiétude exprimée par le médecin en charge du suivi de l'enfant. La cause était ainsi en état d'être jugée.</w:t>
      </w:r>
    </w:p>
    <w:p>
      <w:r>
        <w:rPr>
          <w:b/>
        </w:rPr>
        <w:t>E. 2.1.3</w:t>
      </w:r>
    </w:p>
    <w:p>
      <w:r>
        <w:t>Ainsi que l'a relevé à juste titre la Cour de justice,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(notamment: ATF 134 III 379 consid. 1.3 p. 383 et l'arrêt cité). En d'autres termes, l'absence de conclusions en réforme ne fait, dans un tel cas, pas obstacle à l'entrée en matière sur le recours, qui sera rejeté si le moyen d'ordre formel est écarté. De ce point de vue, l'arrêt cantonal présente une contradiction entre les motifs et le dispositif d'irrecevabilité. Dès lors que la Chambre civile a examiné le mérite du grief d'ordre formel invoqué (droit d'être entendu/droit à la preuve), il convient de considérer qu'elle a examiné matériellement le mérite de l'appel et l'a rejeté (cf. arrêt 6B_683/2013 consid. 4.2 in fine; C. 280/1995 consid. 1c non publié aux ATF 123 V 106 ). Quoi qu'il en soit, cela ne modifie en rien la situation juridique de la recourante pour les motifs qui suivent.</w:t>
      </w:r>
    </w:p>
    <w:p>
      <w:r>
        <w:rPr>
          <w:b/>
        </w:rPr>
        <w:t>E. 2.2.1</w:t>
      </w:r>
    </w:p>
    <w:p>
      <w:r>
        <w:t>Quoiqu'elle ait déclaré l'appel irrecevable, la Cour de justice a en outre jugé que celui-ci eût-il été recevable, qu'il aurait été rejeté. Elle a en effet reconnu la compétence du premier juge pour prononcer la modification des mesures protectrices au-delà du 1</w:t>
      </w:r>
    </w:p>
    <w:p>
      <w:r>
        <w:t>er février 2013 et rejeté le grief soulevé par l'appelante à cet égard. Elle a en outre confirmé la modification de l'attribution de la garde et de l'autorité parentale ainsi que de la règlementation du droit de visite. Ce faisant, elle a adopté une motivation subsidiaire.</w:t>
      </w:r>
    </w:p>
    <w:p>
      <w:r>
        <w:rPr>
          <w:b/>
        </w:rPr>
        <w:t>E. 2.2.2</w:t>
      </w:r>
    </w:p>
    <w:p>
      <w:r>
        <w:t>Selon la jurisprudence, lorsque la décision attaquée comporte plusieurs motivations indépendantes dont chacune suffit à sceller le sort de la cause, il appartient au recourant, sous peine d'irrecevabilité, de démontrer que chacune d'entre elles est contraire au droit (ATF ATF 136 III 534 consid. 2 p. 535; 133 IV 119 consid. 6.3 p. 120; 131 III 595 consid. 2.2 p. 598). Le caractère subsidiaire de l'une des motivations n'y change rien (arrêt 4A_454/2010 du 6 janvier 2011 consid. 1.3).</w:t>
      </w:r>
    </w:p>
    <w:p>
      <w:r>
        <w:rPr>
          <w:b/>
        </w:rPr>
        <w:t>E. 2.2.3</w:t>
      </w:r>
    </w:p>
    <w:p>
      <w:r>
        <w:t>En l'espèce, la recourante s'est contentée de conclure formellement à la recevabilité de son appel et des pièces produites et, partant, au renvoi pour nouvelle décision. A titre de motivation, elle soutient en bref qu'il est choquant que l'autorité cantonale ait considéré que son acte de recours ne contenait pas de conclusions réformatoires, que celles-ci pouvaient aisément être interprétées à la lumière de sa motivation, à tout le moins mise en relation avec le dispositif de la décision attaquée et - de façon quelque peu contradictoire - qu'à l'évidence seul un renvoi pouvait entrer en ligne de compte tant le besoin d'une instruction complémentaire s'imposait. Elle prétend en outre qu'il est arbitraire d'avoir déclaré ses pièces irrecevables simplement parce que son appel était irrecevable, qu'il était manifeste que le refus du Tribunal de première instance d'ordonner l'apport de la procédure de divorce violait son droit d'être entendu et qu'il était insoutenable de considérer que les pièces produites en première instance, en particulier l'expertise du 7 juillet 2011, n'étaient pas obsolètes. Ce faisant, elle s'en prend uniquement aux considérations qui ont conduit la Chambre civile à constater l'absence de conclusions réformatoires et à rejeter toute violation du droit d'être entendu ainsi que du droit à la preuve. Elle laisse intactes celles subsidiaires par lesquelles elle a rejeté le grief tiré de l'incompétence du juge des mesures protectrices pour statuer au-delà du 1</w:t>
      </w:r>
    </w:p>
    <w:p>
      <w:r>
        <w:t>er février 2013 et confirmé la modification de l'attribution de la garde et de l'autorité parentale ainsi que de la règlementation du droit de visite. L'acte de recours ne satisfaisant ainsi pas aux conditions requises (supra, consid. 2.2.2), il est irrecevable.</w:t>
      </w:r>
    </w:p>
    <w:p>
      <w:r>
        <w:rPr>
          <w:b/>
        </w:rPr>
        <w:t>E. 3</w:t>
      </w:r>
    </w:p>
    <w:p>
      <w:r>
        <w:t>Vu l'issue de la procédure, les frais judiciaires seront mis à la charge de la recourante qui succombe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