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5A_935/2023 vom 18. Dezember 2023</w:t>
      </w:r>
    </w:p>
    <w:p>
      <w:r>
        <w:t>Bundesgericht, 2023-12-18, IT</w:t>
      </w:r>
    </w:p>
    <w:p>
      <w:r>
        <w:rPr>
          <w:b/>
        </w:rPr>
        <w:t xml:space="preserve">Quelle: </w:t>
      </w:r>
      <w:r>
        <w:t>https://mcp.opencaselaw.ch/entscheid/bger_5A_935_2023</w:t>
      </w:r>
    </w:p>
    <w:p>
      <w:r>
        <w:t>FR: TF 5A_935/2023 du 18 décembre 2023</w:t>
      </w:r>
    </w:p>
    <w:p>
      <w:r>
        <w:t>IT: TF 5A_935/2023 del 18 dicembre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13 gennaio 2023 la Camera di esecuzione e fallimenti del Tribunale d'appello del Cantone Ticino, quale autorità di vigilanza, ha accolto un'istanza 22 settembre 2022 dell'Ufficio di esecuzione (UE) sede di Locarno ordinando la realizzazione a mezzo di pubblici incanti dell'interessenza di 1/6 spettante a A.________ nella comunione ereditaria del padre fu E.________, interessenza che l'UE aveva pignorato a favore della Cassa cantonale di compensazione AVS/AI/IPG, della D.________ AG (ora B.________ SA) e del Comune di X.________ (esecuzioni dei gruppi da n. 1 a 4). Tale decisione è cresciuta in giudicato (v. sentenza 5A_92/2023 del 10 febbraio 2023 del Tribunale federale). Il 30 dicembre 2022 e il 20 giugno 2023 l'UE ha pignorato tale quota ereditaria anche a favore del gruppo n. 5, composto della Confederazione svizzera, della B.________ SA e della Fondazione C.________, e del gruppo n. 6, composto della B.________ SA e della Cassa cantonale di compensazione AVS/AI/IPG; l'UE ha emesso i verbali di pignoramento il 22 giugno e il 6 settembre 2023. Il 14 settembre 2023 l'UE ha realizzato ai pubblici incanti l'interessenza.</w:t>
      </w:r>
    </w:p>
    <w:p>
      <w:r>
        <w:t>Con due ricorsi 25 settembre 2023 A.________ ha impugnato il verbale di pignoramento 6 settembre 2023 e l'incanto 14 settembre 2023.</w:t>
      </w:r>
    </w:p>
    <w:p>
      <w:r>
        <w:t>Con sentenza 20 novembre 2023 la Camera di esecuzione e fallimenti del Tribunale d'appello, quale autorità di vigilanza, ha dichiarato entrambi i ricorsi inammissibili per carenza di motivazione.</w:t>
      </w:r>
    </w:p>
    <w:p>
      <w:r>
        <w:rPr>
          <w:b/>
        </w:rPr>
        <w:t>E. 2</w:t>
      </w:r>
    </w:p>
    <w:p>
      <w:r>
        <w:t>Con ricorso 11 dicembre 2023 A.________ ha impugnato la sentenza 20 novembre 2023 dinanzi al Tribunale federale, chiedendo di annullarla e di rinviare l'incarto all'autorità di vigilanza " per l'esame e la decisione sul caso in oggetto ". Il ricorrente ha anche chiesto di richiamare l'incarto cantonale.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L'atto ricorsuale al Tribunale federale deve contenere le conclusioni e i motivi ( art. 42 cpv. 1 LTF ). Nei motivi la parte ricorrente deve spiegare, confrontandosi con i considerandi della sentenza impugnata ( DTF 143 II 283 consid. 1.2.2; 140 III 86 consid. 2; 134 II 244 consid. 2.1), perché quest'ultima leda il diritto ( art. 42 cpv. 2 LTF ). Per le violazioni di diritti fondamentali e di disposizioni di diritto cantonale e intercantonale le esigenze di motivazione sono più severe: la parte ricorrente deve indicare i diritti ritenuti lesi e spiegare, con un'argomentazione puntuale e precisa attinente alla sentenza impugnata, in cosa consista la violazione ( art. 106 cpv. 2 LTF ; DTF 143 II 283 consid. 1.2.2; 134 II 244 consid. 2.2).</w:t>
      </w:r>
    </w:p>
    <w:p>
      <w:r>
        <w:t>Quando, come in concreto, l'autorità precedente non esamina un ricorso nel merito, oggetto di disamina dinanzi al Tribunale federale può essere unicamente la questione dell'inammissibilità e avverso un tale giudizio sono possibili soltanto conclusioni tendenti all'annullamento e al rinvio dell'incarto all'istanza cantonale, poiché, in caso di accoglimento del ricorso, il Tribunale federale non potrebbe statuire nel merito (v. DTF 144 II 184 consid. 1.1 con rinvii).</w:t>
      </w:r>
    </w:p>
    <w:p>
      <w:r>
        <w:t>Nel gravame all'esame il ricorrente non si misura con la sentenza 20 novembre 2023 dell'autorità di vigilanza e, in particolare, non spiega perché i suoi due ricorsi 25 settembre 2023 avrebbero dovuto essere considerati sufficientemente motivati e quindi ricevibili. Egli si limita infatti a criticare, peraltro in modo del tutto superficiale, la precedente decisione 13 gennaio 2023 dell'autorità di vigilanza, la sentenza 5A_92/2023 del 10 febbraio 2023 del Tribunale federale e la presa di posizione dell'UE del 13 ottobre 2023 ai suoi ricorsi. Egli sembra invero accennare a una violazione del suo diritto di essere sentito (v. art. 29 cpv. 2 Cost. ), ma non espone quali argomenti avrebbe fatto valere nella procedura cantonale né in che modo questi sarebbero stati pertinenti (v. sentenza 5A_804/2022 del 24 febbraio 2023 consid. 3.1.2 con rinvii), ricordato che il rimando ad altri allegati o agli atti non è sufficiente (v. DTF 140 III 115 consid. 2). Il ricorso, insomma, non soddisfa le esigenze di motivazione dell' art. 42 cpv. 2 LTF né tantomeno quelle, più rigorose, dell' art. 106 cpv. 2 LTF .</w:t>
      </w:r>
    </w:p>
    <w:p>
      <w:r>
        <w:rPr>
          <w:b/>
        </w:rPr>
        <w:t>E. 4</w:t>
      </w:r>
    </w:p>
    <w:p>
      <w:r>
        <w:t>Da quanto precede discende che il ricorso, manifestamente non motivato in modo sufficiente, può essere evaso nella procedura semplificata dell' art. 108 cpv. 1 lett. b LTF . La richiesta di richiamare l'incarto cantonale diventa pertanto priva di oggetto.</w:t>
      </w:r>
    </w:p>
    <w:p>
      <w:r>
        <w:t>Nel caso concreto si può eccezionalmente rinunciare a riscuotere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