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5A_935/2017 vom 23. November 2017</w:t>
      </w:r>
    </w:p>
    <w:p>
      <w:r>
        <w:t>Bundesgericht, 2017-11-23, DE</w:t>
      </w:r>
    </w:p>
    <w:p>
      <w:r>
        <w:rPr>
          <w:b/>
        </w:rPr>
        <w:t xml:space="preserve">Quelle: </w:t>
      </w:r>
      <w:r>
        <w:t>https://mcp.opencaselaw.ch/entscheid/bger_5A_935_2017</w:t>
      </w:r>
    </w:p>
    <w:p>
      <w:r>
        <w:t>FR: TF 5A_935/2017 du 23 novembre 2017</w:t>
      </w:r>
    </w:p>
    <w:p>
      <w:r>
        <w:t>IT: TF 5A_935/2017 del 23 novembre 2017</w:t>
      </w:r>
    </w:p>
    <w:p>
      <w:pPr>
        <w:pStyle w:val="Heading2"/>
      </w:pPr>
      <w:r>
        <w:t>Erwägungen</w:t>
      </w:r>
    </w:p>
    <w:p>
      <w:r>
        <w:rPr>
          <w:b/>
        </w:rPr>
        <w:t>E. 1</w:t>
      </w:r>
    </w:p>
    <w:p>
      <w:r>
        <w:t>Angefochten ist ein kantonal letztinstanzlicher Entscheid, welcher die Abberufung des Verwalters einer Stockwerkeigentümergemeinschaft betrifft ( Art. 72 Abs. 1, Art. 75 Abs. 1 und Art. 90 BGG ). Der Streitwert liegt nach den obergerichtlichen Feststellungen unter Fr. 30'000.-- (vgl. angefochtener Entscheid, S. 9). Der Beschwerdeführer tut nicht dar, dass der Mindeststreitwert von Fr. 30'000.-- gemäss Art. 74 Abs. 1 lit. b BGG erreicht wäre und solches ist auch nicht ersichtlich. Mithin steht nicht die Beschwerde in Zivilsachen ( Art. 72 ff. BGG ), sondern einzig die subsidiäre Verfassungsbeschwerde offen ( Art. 113 ff. BGG ).</w:t>
      </w:r>
    </w:p>
    <w:p>
      <w:r>
        <w:rPr>
          <w:b/>
        </w:rPr>
        <w:t>E. 2</w:t>
      </w:r>
    </w:p>
    <w:p>
      <w:r>
        <w:t>Neue Begehren sind vor Bundesgericht unzulässig (Art. 99 Abs. 2 i.V.m. Art. 117 BGG ). Soweit der Beschwerdeführer mehr oder anderes verlangt, als von der Vorinstanz beurteilt wurde, ist darauf nicht einzutreten (vgl. Urteil 5A_761/2016 vom 20. Juni 2017 E. 2.2.3).</w:t>
      </w:r>
    </w:p>
    <w:p>
      <w:r>
        <w:rPr>
          <w:b/>
        </w:rPr>
        <w:t>E. 3</w:t>
      </w:r>
    </w:p>
    <w:p>
      <w:r>
        <w:t>In der Sache kann mit der subsidiären Verfassungsbeschwerde einzig die Verletzung verfassungsmässiger Rechte angerufen werden ( Art. 116 BGG ), wofür das strenge Rügeprinzip gilt (Art. 106 Abs. 2 i.V.m. Art. 117 BGG ).</w:t>
      </w:r>
    </w:p>
    <w:p>
      <w:r>
        <w:t>Weder nennt der Beschwerdeführer verfassungsmässige Rechte, welche verletzt sein könnten, noch entsprechen seine Ausführungen inhaltlich den Anforderungen, wie sie sich aus dem Rügeprinzip ergeben (vgl. dazu BGE 134 II 244 E. 2.2 S. 246 ; 141 I 36 E. 1.3 S. 41; 142 II 369 E. 2.1 S. 372; 142 III 364 E. 2.4 S. 368).</w:t>
      </w:r>
    </w:p>
    <w:p>
      <w:r>
        <w:rPr>
          <w:b/>
        </w:rPr>
        <w:t>E. 4</w:t>
      </w:r>
    </w:p>
    <w:p>
      <w:r>
        <w:t>Nach dem Gesagten erweist sich die Beschwerde, soweit überhaupt zulässige Begehren gestellt werden,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