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934/2019 vom 19. Dezember 2019</w:t>
      </w:r>
    </w:p>
    <w:p>
      <w:r>
        <w:t>Bundesgericht, 2019-12-19, DE</w:t>
      </w:r>
    </w:p>
    <w:p>
      <w:r>
        <w:rPr>
          <w:b/>
        </w:rPr>
        <w:t xml:space="preserve">Quelle: </w:t>
      </w:r>
      <w:r>
        <w:t>https://mcp.opencaselaw.ch/entscheid/bger_5A_934_2019</w:t>
      </w:r>
    </w:p>
    <w:p>
      <w:r>
        <w:t>FR: TF 5A 934/2019 du 19 décembre 2019</w:t>
      </w:r>
    </w:p>
    <w:p>
      <w:r>
        <w:t>IT: TF 5A 934/2019 del 19 dicembre 2019</w:t>
      </w:r>
    </w:p>
    <w:p>
      <w:pPr>
        <w:pStyle w:val="Heading2"/>
      </w:pPr>
      <w:r>
        <w:t>Regeste</w:t>
      </w:r>
    </w:p>
    <w:p>
      <w:r>
        <w:t>Zahlungsbefehl | Schuldbetreibungs- und Konkursrecht</w:t>
      </w:r>
    </w:p>
    <w:p>
      <w:pPr>
        <w:pStyle w:val="Heading2"/>
      </w:pPr>
      <w:r>
        <w:t>Erwägungen</w:t>
      </w:r>
    </w:p>
    <w:p>
      <w:r>
        <w:rPr>
          <w:b/>
        </w:rPr>
        <w:t>E. 1.1</w:t>
      </w:r>
    </w:p>
    <w:p>
      <w:r>
        <w:t>Der Entscheid des Obergerichts, das sich als obere kantonale Aufsichtsbehörde mit der Gültigkeit eines Zahlungsbefehls befasst hat, ist der Beschwerde in Zivilsachen zugänglich ( Art. 19 SchKG i.V.m. Art. 72 Abs. 2 lit. a, Art. 74 Abs. 2 lit. c und 75 Abs. 2 BGG).</w:t>
      </w:r>
    </w:p>
    <w:p>
      <w:r>
        <w:rPr>
          <w:b/>
        </w:rPr>
        <w:t>E. 1.2</w:t>
      </w:r>
    </w:p>
    <w:p>
      <w:r>
        <w:t>Der im kantonale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 Damit werden die vom Beschwerdeführer eingereichten Aufsichtsbeschwerden und weitere Schreiben nur berücksichtigt, soweit sie mit einer konkreten Rüge verbunden sind.</w:t>
      </w:r>
    </w:p>
    <w:p>
      <w:r>
        <w:rPr>
          <w:b/>
        </w:rPr>
        <w:t>E. 2</w:t>
      </w:r>
    </w:p>
    <w:p>
      <w:r>
        <w:t>Angefochten ist mit dem vorinstanzlichen Urteil in der Sache auch der Beschluss (als nicht selbständig eröffneter Prozessentscheid).</w:t>
      </w:r>
    </w:p>
    <w:p>
      <w:r>
        <w:rPr>
          <w:b/>
        </w:rPr>
        <w:t>E. 2.1</w:t>
      </w:r>
    </w:p>
    <w:p>
      <w:r>
        <w:t>Die Vorinstanz lehnte mit dem Beschluss die Sistierung des Verfahrens ab. Ihrer Ansicht nach ist kein Grund ersichtlich, den Ausgang des Verfahrens vor der Aufsichtskommission über die Anwältinnen und Anwälte abzuwarten, da der Entscheid im vorliegenden Verfahren wie in weiteren Parallelverfahren nicht von der Zulässigkeit der Vertretung der jeweiligen Beschwerdegegner durch die Anwälte von E.________ AG abhänge, welche der Beschwerdeführer kritisierte.</w:t>
      </w:r>
    </w:p>
    <w:p>
      <w:r>
        <w:rPr>
          <w:b/>
        </w:rPr>
        <w:t>E. 2.2</w:t>
      </w:r>
    </w:p>
    <w:p>
      <w:r>
        <w:t>Der Beschwerdeführer wirft der Vorinstanz eine Verletzung des rechtlichen Gehörs vor, da sie sich nicht mit dem gravierenden Interessenkonflikt der Anwälte der Beschwerdegegner auseinandergesetzt und insbesondere den Beschluss nicht hinreichend begründet habe. Der Beschwerdeführer beantragt die Aufhebung des vorinstanzlichen Beschlusses.</w:t>
      </w:r>
    </w:p>
    <w:p>
      <w:r>
        <w:rPr>
          <w:b/>
        </w:rPr>
        <w:t>E. 2.3</w:t>
      </w:r>
    </w:p>
    <w:p>
      <w:r>
        <w:t>Der Anspruch auf rechtliches Gehör umfasst einerseits das persönlichkeitsbezogene Mitwirkungsrecht der Parteien am Verfahren, wozu insbesondere das Recht gehört, von der Behörde vor Erlass ihres Entscheides mit den tatsächlichen und rechtlichen Vorbringen angehört zu werden ( BGE 143 V 71 E. 4.1). Alsdann hat die Behörde ihren Entscheid so zu begründen, dass sich die betroffene Partei über dessen Tragweite Rechenschaft geben und ihn in voller Kenntnis der Sache anfechten kann ( BGE 145 III 324 E. 6.1).</w:t>
      </w:r>
    </w:p>
    <w:p>
      <w:r>
        <w:rPr>
          <w:b/>
        </w:rPr>
        <w:t>E. 2.4</w:t>
      </w:r>
    </w:p>
    <w:p>
      <w:r>
        <w:t>Im vorliegenden Fall ging es einzig um die Frage der Sistierung. Die Vorinstanz hat die Vorbringen des Beschwerdeführers zur Kenntnis genommen und gewürdigt. Aus welchen Gründen sie alsdann das Sistierungsgesuch abwies, wird aus ihrem Beschluss ohne Weiteres klar. Davon zu unterscheiden sind die Motive der Begründung, welche indes nicht das rechtliche Gehör, sondern die Anwendung des materiellen Rechts beschlagen. Der Beschwerdeführer legt dem Bundesgericht den mutmasslichen Interessenkonflikt der Anwälte der Beschwerdegegner in den Parallelverfahren einlässlich dar und kritisiert, dass die Vorinstanz diesen nicht das Vertretungsrecht verweigert hatte. Indes geht aus seinen Vorbringen nicht hervor, inwiefern sich die Ablehnung der Sistierung des vorliegenden Verfahrens auf den angefochtenen Endentscheid auswirkte ( Art. 93 Abs. 3 BGG ; vgl. Urteil 4A_658/2015 vom 30. März 2015 E. 1.4). Insoweit ist auf die Beschwerde nicht einzutreten.</w:t>
      </w:r>
    </w:p>
    <w:p>
      <w:r>
        <w:rPr>
          <w:b/>
        </w:rPr>
        <w:t>E. 3.1</w:t>
      </w:r>
    </w:p>
    <w:p>
      <w:r>
        <w:t>In der Sache besteht nach Ansicht der Vorinstanz kein Anlass, den Zahlungsbefehl in der Betreibung Nr. yyy des Betreibungsamtes Rüti aufzuheben. Aus den gegen den erstinstanzlichen Entscheid erhobenen Vorwürfen werde nicht erkennbar, weshalb der Zahlungsbefehl nichtig sein sollte. Zudem könnten die Vorbringen, welche sich gegen die in Betreibung gesetzte Forderung richten, nicht in einem Beschwerdeverfahren nach Art. 17 SchKG geprüft werden.</w:t>
      </w:r>
    </w:p>
    <w:p>
      <w:r>
        <w:rPr>
          <w:b/>
        </w:rPr>
        <w:t>E. 3.2</w:t>
      </w:r>
    </w:p>
    <w:p>
      <w:r>
        <w:t>Demgegenüber besteht der Beschwerdeführer darauf, dass der Zahlungsbefehl an wesentlichen Mängeln leide, da daraus keine Forderungsurkunde ersichtlich sei.</w:t>
      </w:r>
    </w:p>
    <w:p>
      <w:r>
        <w:rPr>
          <w:b/>
        </w:rPr>
        <w:t>E. 4</w:t>
      </w:r>
    </w:p>
    <w:p>
      <w:r>
        <w:t>Anlass der Beschwerde bildet die Gültigkeit eines Zahlungsbefehls in einer Betreibung, die auf Geldzahlung lautet. Strittig ist insbesondere die Umschreibung der Forderungsurkunde.</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S.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169'433 unter der Rubrik "Forderungsurkunde mit Datum oder Angabe des Forderungsgrundes" (nebst Betrag und Zins) folgende Angaben: "1. CHF 39'591'744.80 Rechtskräftig veranlagte Staats- und Gemeindesteuern 2010, 2011, 2012 und 2013. Teilprosequierung Arrest Nr. xxx des Betreibungsamtes Rüti bezüglich Staats- und Gemeindesteuern 2010-2013 2. CHF 3'728'365.25." Die Vorinstanz erläuterte dem Beschwerdeführer (im Wesentlichen unter Hinweis auf die Erstinstanz), dass auf dem Zahlungsbefehl zwar die Forderungsurkunde nicht explizit aufgeführt werde. Indes bestehe aufgrund der jahrelang dauernden Prozesse über die in Betreibung gesetzte Forderung beim Beschwerdeführer ein umfangreiches Vorwissen, weshalb ihm gestützt auf die Angaben im Zahlungsbefehl klar sein müsse, wofür er nun betrieben werde. Die gegenteilige Behauptung erweise sich angesichts der Gesamtumstände geradezu als treuwidrig. Soweit in diesem Punkt überhaupt eine rechtsgenüglich begründete Beschwerde vorliege, so die Vorinstanz, müsse sie abgewiesen werden.</w:t>
      </w:r>
    </w:p>
    <w:p>
      <w:r>
        <w:rPr>
          <w:b/>
        </w:rPr>
        <w:t>E. 4.2.2</w:t>
      </w:r>
    </w:p>
    <w:p>
      <w:r>
        <w:t>Der Beschwerdeführer besteht darauf, dass es auf dem Zahlungsbefehl der Betreibung Nr. yyy an einer Angabe der Forderungsurkunde fehle. Der Zahlungsbefehl müsse daher nichtig erklärt oder mindestens aufgehoben werden. Zur Begründung bringt der Beschwerdeführer einzig vor, es sei nicht nachvollziehbar, gestützt auf welche Forderungsurkunde er für welche Forderung betrieben werde. Mit diesem Vorbringen geht der Beschwerdeführer nicht auf den angefochtenen Entscheid ein, soweit die Vorinstanz darin seine Rügen als pauschal und damit ungenügend begründet qualifiziert hat. Er begnügt sich mit dem Vorwurf der fehlenden Angabe einer Forderungsurkunde. Dabei lässt er den Zweck ausser Acht, welcher den Angaben auf dem Zahlungsbefehl zukommt (E. 4.2.) Insbesondere blendet er aus, dass das Gesetz die Angabe der Forderungsurkunde und deren Datum und in Ermangelung einer solchen den Forderungsgrund verlangt ( Art. 67 Abs. 1 Ziff. 4 SchKG ). Für die Anhebung der Betreibung ist hingegen kein Vollstreckungstitel erforderlich, noch muss der Bestand der Forderung nachgewiesen werden (vgl. BGE 113 III 2 E. 2b). Es kommt einzig darauf an, dem Schuldner die nötige Information über die in Betreibung gesetzte Forderung zu verschaffen, welche ihm erlaubt, dazu Stellung zu beziehen (KOFMEL EHRENZELLER, a.a.O.). Dass er für ausstehende Steuern von Staat und Stadt Zürich und für welchen Zeitraum er betrieben wird, steht aufgrund des Zahlungsbefehls ausser Zweifel.</w:t>
      </w:r>
    </w:p>
    <w:p>
      <w:r>
        <w:rPr>
          <w:b/>
        </w:rPr>
        <w:t>E. 5</w:t>
      </w:r>
    </w:p>
    <w:p>
      <w:r>
        <w:t>Nach dem Gesagten ist der Beschwerde insgesamt kein Erfolg beschieden, soweit darauf überhaupt einzutreten ist.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