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5A_933/2020 vom 14. April 2021</w:t>
      </w:r>
    </w:p>
    <w:p>
      <w:r>
        <w:t>Bundesgericht, 2021-04-14, FR</w:t>
      </w:r>
    </w:p>
    <w:p>
      <w:r>
        <w:rPr>
          <w:b/>
        </w:rPr>
        <w:t xml:space="preserve">Quelle: </w:t>
      </w:r>
      <w:r>
        <w:t>https://mcp.opencaselaw.ch/entscheid/bger_5A_933_2020</w:t>
      </w:r>
    </w:p>
    <w:p>
      <w:r>
        <w:t>FR: TF 5A_933/2020 du 14 avril 2021</w:t>
      </w:r>
    </w:p>
    <w:p>
      <w:r>
        <w:t>IT: TF 5A_933/2020 del 14 aprile 2021</w:t>
      </w:r>
    </w:p>
    <w:p>
      <w:pPr>
        <w:pStyle w:val="Heading2"/>
      </w:pPr>
      <w:r>
        <w:t>Erwägungen</w:t>
      </w:r>
    </w:p>
    <w:p>
      <w:r>
        <w:rPr>
          <w:b/>
        </w:rPr>
        <w:t>E. 1</w:t>
      </w:r>
    </w:p>
    <w:p>
      <w:r>
        <w:t>Le Tribunal fédéral, saisi d'un recours en matière civile, examine d'office sa compétence ( art. 29 al. 1 LTF ) et la question du droit applicable, selon la loi du for, à savoir la loi sur le droit international privé (LDIP; ATF 137 III 481 consid. 2.1 et les références), sous réserve des traités internationaux ( art. 1 al. 2 LDIP ). Il contrôle par ailleurs librement les conditions de recevabilité des recours qui lui sont soumis (arrêt 4A_461/2017 du 26 mars 2018 consid. 1.1 et les références, non publié in ATF 144 III 253 ).</w:t>
      </w:r>
    </w:p>
    <w:p>
      <w:r>
        <w:rPr>
          <w:b/>
        </w:rPr>
        <w:t>E. 1.1</w:t>
      </w:r>
    </w:p>
    <w:p>
      <w:r>
        <w:t>En raison du lieu de résidence de l'enfant en France ainsi que de la nationalité et du domicile français de l'intimé, le litige revêt un caractère international. En conséquence, il s'agit d'examiner si les autorités suisses demeurent compétentes pour statuer sur la présente cause.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s'applique dans les relations entre la Suisse et la France dès lors que les deux États l'ont signée et ratifiée (arrêt 5A_496/2020 du 23 octobre 2020 consid. 1.1 et la référence).</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w:t>
      </w:r>
    </w:p>
    <w:p>
      <w:r>
        <w:t>perpetuatio fori ne s'applique donc pas ( ATF 143 III 193 consid. 2; arrêts 5A_496/2020 précité ibid.; 5A_21/2019 du 1er juillet 2019 consid. 5.1 et les références). Il s'ensuit que, dans les relations entre États contractants, le changement (licite) de résidence habituelle du mineur entraîne un changement simultané de la compétence (arrêts 5A_496/2020 précité ibid.; 5A_21/2019 précité ibid., et les références;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5A_313/2014 du 9 octobre 2014 consid. 7.3; concernant la CLaH61: ATF 132 III 586 consid. 2.3.1).</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 ATF 110 II 119 consid. 3; arrêts 5A_274/2016 du 26 août 2016 consid. 2.3; 5A_293/2016 précité ibid.; 5A_324/2014 du 9 octobre 2014 consid. 5.2 et les références).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5A_274/2016 précité ibid.; 5A_324/2014 précité ibid., et les références).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 ATF 129 III 288 consid. 4.1; arrêts 5A_293/2016 précité ibid.; 5A_324/2014 précité ibid., et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(arrêts 5A_274/2016 précité ibid., et les références; 5A_324/2014 précité ibid., et les références).</w:t>
      </w:r>
    </w:p>
    <w:p>
      <w:r>
        <w:rPr>
          <w:b/>
        </w:rPr>
        <w:t>E. 1.2</w:t>
      </w:r>
    </w:p>
    <w:p>
      <w:r>
        <w:t>En l'espèce, la Chambre des curatelles a constaté que l'enfant vivait auprès de son père à V.________ depuis le mois de février 2020, soit depuis plus de six mois, situation de fait due à l'ordonnance de mesures superprovisionnelles du 17 février 2020 confirmée par l'ordonnance de mesures provisionnelles du 1er juillet 2020. Il ressort en outre de l'arrêt attaqué et du dossier que l'enfant vit à V.________ avec sa demi-soeur E.________, qu'il est scolarisé dans cette ville depuis le 2 mars 2020 et qu'il y a ses rendez-vous médicaux. Il est vrai que dans un arrêt 5A_136/2018 du 26 juin 2018, le Tribunal de céans a refusé de qualifier d'habituelle la résidence d'un enfant vivant auprès de son père à l'étranger au motif que ladite résidence était la conséquence d'une décision rendue, comme en l'espèce, à titre superprovisoire et provisoire. Les circonstances de cette affaire sont toutefois différentes de la présente cause dans la mesure où, bien qu'ayant déménagé en France, l'enfant continuait d'aller à l'école à Genève, ville où avaient également lieu ses rendez-vous médicaux. Des circonstances particulières justifiaient ainsi de conserver la résidence habituelle au précédent lieu de vie. De telles circonstances font totalement défaut en l'espèce. Appliquer ici, comme l'a en définitive fait la Chambre des curatelles, la solution retenue à l'arrêt 5A_136/2018 comporte en outre le risque que la décision suisse ne soit pas reconnue en France (cf. BUCHER, La résidence habituelle - pivot de la procédure internationale relative aux droits de l'enfant, in Symposium en droit de la famille, 2020, p. 84 s.). Il y a donc lieu de s'en tenir au principe selon lequel le transfert en février 2020 de la résidence de l'enfant auprès de son père en France a modifié la compétence des autorités: en tant que nouvelles autorités de la résidence habituelle du mineur, les tribunaux français sont compétents pour prendre des mesures de protection de l'enfant (art. 5 CLaH96), à l'exclusion des tribunaux suisses.</w:t>
      </w:r>
    </w:p>
    <w:p>
      <w:r>
        <w:t>Le constat de l'incompétence</w:t>
      </w:r>
    </w:p>
    <w:p>
      <w:r>
        <w:t>ratione loci des autorités suisses conduit à l'irrecevabilité du recours (cf. art. 30 al. 1 LTF ).</w:t>
      </w:r>
    </w:p>
    <w:p>
      <w:r>
        <w:rPr>
          <w:b/>
        </w:rPr>
        <w:t>E. 2</w:t>
      </w:r>
    </w:p>
    <w:p>
      <w:r>
        <w:t>En conclusion, le recours est irrecevable. Les conclusions de la recourante étant d'emblée vouées à l'échec, la requête d'assistance judiciaire ne saurait être agréée ( art. 64 al. 1 LTF ) et l'intéressée supportera les frais de la procédure ( art. 66 al. 1 LTF ). Il n'y a pas lieu d'allouer de dépens à l'intimé, qui n'a pas été entièrement suivi sur la question de l'effet suspensif et n'a pas été invité à se déterminer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