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5A_932/2021 vom 22. April 2022</w:t>
      </w:r>
    </w:p>
    <w:p>
      <w:r>
        <w:t>Bundesgericht, 2022-04-22, FR</w:t>
      </w:r>
    </w:p>
    <w:p>
      <w:r>
        <w:rPr>
          <w:b/>
        </w:rPr>
        <w:t xml:space="preserve">Quelle: </w:t>
      </w:r>
      <w:r>
        <w:t>https://mcp.opencaselaw.ch/entscheid/bger_5A_932_2021</w:t>
      </w:r>
    </w:p>
    <w:p>
      <w:r>
        <w:t>FR: TF 5A_932/2021 du 22 avril 2022</w:t>
      </w:r>
    </w:p>
    <w:p>
      <w:r>
        <w:t>IT: TF 5A_932/2021 del 22 aprile 2022</w:t>
      </w:r>
    </w:p>
    <w:p>
      <w:pPr>
        <w:pStyle w:val="Heading2"/>
      </w:pPr>
      <w:r>
        <w:t>Erwägungen</w:t>
      </w:r>
    </w:p>
    <w:p>
      <w:r>
        <w:rPr>
          <w:b/>
        </w:rPr>
        <w:t>E. 1</w:t>
      </w:r>
    </w:p>
    <w:p>
      <w:r>
        <w:t>Déposé en temps utile ( art. 100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En l'espèce, la partie " Faits " du recours (p. 2-7)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ou que leur correction influerait sur le sort de la cause.</w:t>
      </w:r>
    </w:p>
    <w:p>
      <w:r>
        <w:rPr>
          <w:b/>
        </w:rPr>
        <w:t>E. 3</w:t>
      </w:r>
    </w:p>
    <w:p>
      <w:r>
        <w:t>Le recourant se plaint du fait que la Cour d'appel a refusé d'instaurer une garde alternée sur l'enfant cadette des parties. Il soulève à la fois un grief d'arbitraire dans l'application de l'art. 298 al. 2</w:t>
      </w:r>
    </w:p>
    <w:p>
      <w:r>
        <w:t>ter CC et dans l'appréciation des faits. Dans la mesure où ce dernier grief porte sur l'établissement des critères à examiner avant l'éventuelle instauration d'une garde alternée, les deux griefs se confondent et peuvent être examinés ensemble.</w:t>
      </w:r>
    </w:p>
    <w:p>
      <w:r>
        <w:rPr>
          <w:b/>
        </w:rPr>
        <w:t>E. 3.1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(arrêts 5A_401/2021 du 3 mars 2022 consid. 3.1.1 et les références; 5A_793/2020 du 24 février 2021 consid. 5.1.1 et les références).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 ATF 142 III 612 consid. 4.2). Le bien de l'enfant constitue en effet la règle fondamentale en matière d'attribution des droits parentaux ( ATF 143 I 21 consid. 5.5.3; 141 III 328 consid. 5.4), les intérêts des parents devant être relégués au second plan ( ATF 142 III 617 consid. 3.2.3 et les références).</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5A_401/2021 précité consid. 3.1.2 et les références; 5A_793/2020 précité consid. 5.1.2 et les références).</w:t>
      </w:r>
    </w:p>
    <w:p>
      <w:r>
        <w:t>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5A_401/2021 précité consid. 3.1.2 et les références; 5A_793/2020 précité consid. 5.1.2 et les références).</w:t>
      </w:r>
    </w:p>
    <w:p>
      <w:r>
        <w:t>Pour apprécier les critères d'attribution des droits parentaux, le juge du fait, qui connaît le mieux les parties et le milieu dans lequel vit l'enfant, dispose d'un large pouvoir d'appréciation ( ATF 142 III 617 consid. 3.2.5 et les références; arrêts 5A_793/2020 précité consid. 5.1.3; 5A_142/2020 du 24 décembre 2020 consid. 3.2.2). Le Tribunal fédéral n'intervient que si la décision s'écarte sans motif des principes établis par la doctrine et la jurisprudence, lorsque le juge s'est fondé sur des faits qui ne devaient jouer aucun rôle pour la solution du cas d'espèce, ou lorsque, au contraire, il n'a pas tenu compte de circonstances qui auraient impérativement dû être prises en considération ( ATF 142 III 617 consid. 3.2.5 et les références; arrêt 5A_557/2020 du 2 février 2021 consid. 3.1 et les références).</w:t>
      </w:r>
    </w:p>
    <w:p>
      <w:r>
        <w:rPr>
          <w:b/>
        </w:rPr>
        <w:t>E. 3.2</w:t>
      </w:r>
    </w:p>
    <w:p>
      <w:r>
        <w:t>Le recourant reproche pour l'essentiel à la Cour d'appel d'avoir fait prévaloir un régime d'exception et de ne pas être partie du postulat selon lequel en présence d'une autorité parentale conjointe, il faut examiner en priorité si l'instauration de la garde alternée est possible et compatible avec le bien de l'enfant. Il passe ensuite en revue les différents critères d'attribution de la garde et soutient que la cour cantonale aurait arbitrairement accordé un poids particulier aux critères de la stabilité, de l'opinion de l'enfant et de la relation avec ses parents, tout en omettant sans justification objective d'autres éléments d'appréciation comme la disponibilité effective des parents et le maintien de la fratrie.</w:t>
      </w:r>
    </w:p>
    <w:p>
      <w:r>
        <w:t>Il estime qu'il faut s'interroger sur la stabilité du milieu familial puisque son frère est désormais la moitié de son temps chez lui, de sorte que D.________ ne le verra que de manière exceptionnelle. Par ailleurs, le critère de la stabilité étant lié à celui de la prise en charge personnelle par le parent, il n'avait que peu d'importance s'agissant d'une enfant de quatorze ans qui passait l'essentiel de son temps hors de la maison, occupée par ses cours, ses entraînements et ses compétitions de natation. Vu ses nombreuses absences, sa présence à la maison coïncidait en réalité avec ses propres horaires et il avait d'ailleurs pour habitude d'aider ses enfants pour les devoirs, de préparer les repas et de manger avec eux.</w:t>
      </w:r>
    </w:p>
    <w:p>
      <w:r>
        <w:t>Pour ce qui est de la disponibilité des parents, il reproche à la Cour d'appel d'avoir omis de tenir compte des occupations politiques et universitaires de l'intimée qui la rendaient en réalité beaucoup moins disponible pour ses enfants que ce qui avait été retenu. Il reproche également à l'autorité cantonale de ne pas s'être interrogée sur l'obligation qui incombe désormais à l'intimée de reprendre une activité lucrative qui plus est à temps plein, ce qui la rendra d'autant moins disponible. Pour sa part, il ne travaillait en présentiel qu'à 40% et était donc à la maison le reste du temps. Il était également disposé à réduire son temps de travail. Or, ces éléments avaient été balayés par la cour cantonale. Il était également arbitraire de retenir que D.________ avait un intérêt évident à passer plus de temps avec le parent dont elle se sentait le plus proche à savoir sa mère dans la mesure où, vu son emploi du temps, elle ne passait en réalité que très peu de temps avec chacun de ses parents. Le critère d'une relation plus étroite avec l'un des parents retenu n'était au demeurant pas un critère d'appréciation pertinent selon la jurisprudence.</w:t>
      </w:r>
    </w:p>
    <w:p>
      <w:r>
        <w:t>S'agissant de l'avis exprimé par D.________ en faveur de l'attribution d'une garde exclusive à sa mère, il estime que les arguments avancés par la jeune fille ne sauraient convaincre dans la mesure où ils se limitaient à des problèmes organisationnels, à savoir notamment qu'elle était actuellement véhiculée essentiellement par sa mère. Or, cette situation ne saurait perdurer dès lors que l'intimée sera prochainement tenue de reprendre une activité lucrative. On ne pouvait, selon lui, retenir qu'une garde exclusive était favorable pour le développement harmonieux et équilibré de l'enfant sur la base de motifs exclusivement organisationnels. Enfin, l'appartenance à une fratrie revêtait une importance particulière en l'espèce puisque les deux enfants étaient des adolescents et qu'ils demeuraient très proches l'un de l'autre. Le recourant en conclut, au vu de l'ensemble des critères qui précèdent, que l'instauration d'une garde alternée était tout à fait envisageable et en aucun cas contraire au bien de l'enfant.</w:t>
      </w:r>
    </w:p>
    <w:p>
      <w:r>
        <w:rPr>
          <w:b/>
        </w:rPr>
        <w:t>E. 3.3</w:t>
      </w:r>
    </w:p>
    <w:p>
      <w:r>
        <w:t>Par son argumentation, le recourant semble omettre que les critères d'appréciation pertinents pour trancher l'attribution de la garde sont interdépendants et que leur importance varie en fonction du cas d'espèce. Ainsi, si certains voire l'un ou l'autre des critères d'appréciation suffisent à justifier l'attribution de la garde exclusive à l'un des parents et que la motivation de l'autorité cantonale à cet égard est suffisante, on ne saurait conclure à l'arbitraire de dite motivation au seul motif que l'ensemble des critères n'ont pas été examinés. En l'occurrence, compte tenu de l'âge de la fille des parties, qui avait quatorze ans au moment où elle s'est déterminée et pour laquelle il n'existe pas de doute quant à sa capacité de discernement, c'est à juste titre que la cour cantonale a considéré son avis comme un critère déterminant. Or, la jeune fille s'est clairement exprimée en faveur de l'attribution de la garde exclusive à sa mère. En tant que le recourant soutient que les arguments qu'elle a avancés ne sont pas convaincants dans la mesure où ils relèvent de considérations purement organisationnelles, il apporte son propre jugement de valeur quant à la pertinence des motivations de sa fille. Or, d'une part, celle-ci n'a pas fait état seulement de problèmes logistiques puisqu'elle a également déclaré qu'elle entretenait une relation plus étroite avec sa mère. D'autre part, vu son emploi du temps, que le recourant décrit lui-même comme extrêmement chargé notamment en raison des activités sportives auxquelles elle s'adonne, son argumentation selon laquelle une garde partagée lui apparaissait comme trop compliquée à mettre en place et fatigante n'apparaît pas dénuée de pertinence. Cela étant, quelles que soient en définitive ses motivations et compte tenu de son âge, on ne saurait en l'espèce s'écarter de l'avis clairement exprimé par D.________ que pour autant que la solution qu'elle préconise présente une réelle mise en danger de son bien. Toutefois, en l'espèce, parmi les arguments présentés par le recourant et que la cour cantonale aurait selon lui omis, seule la séparation de la fratrie pourrait être problématique pour le bien des enfants dans la mesure où ils sont très proches et où on ne sait pas si D.________ aurait préconisé ce type de garde en sachant que son frère allait être soumis à un autre régime. Cela étant, il faut garder à l'esprit que D.________ a presque quinze ans alors que son frère sera bientôt majeur, de sorte que les enfants sont désormais autonomes et peuvent aisément continuer à se voir à leur guise indépendamment du mode de garde auquel ils sont soumis, ce d'autant que leurs parents habitent dans le même village. Dans ces circonstances, force est d'admettre que c'est sans arbitraire que la cour cantonale a suivi l'avis de l'enfant et a attribué à sa mère la garde exclusive la concernant. Il n'y a de surcroît pas lieu d'examiner plus avant si la cour cantonale a accordé trop d'importance au critère de la stabilité eu égard notamment à l'âge de l'enfant, à la plus grande disponibilité de la mère et à la relation plus étroite que cette dernière entretiendrait avec sa fille dans la mesure où l'arbitraire concernant l'un de ces éléments n'est pas susceptible de fonder une mise en danger du bien de l'enfant et ne justifierait dès lors de toute façon pas de s'écarter de l'opinion exprimée par D.________. A toutes fins utiles, il convient de relever que l'autorité cantonale a rappelé à juste titre que les parties demeuraient libres, notamment en cas d'évolution en ce sens des souhaits de D.________, d'adapter d'un commun accord la prise en charge de cette dernière.</w:t>
      </w:r>
    </w:p>
    <w:p>
      <w:r>
        <w:rPr>
          <w:b/>
        </w:rPr>
        <w:t>E. 4</w:t>
      </w:r>
    </w:p>
    <w:p>
      <w:r>
        <w:t>Il suit de ce qui précède que le présent recours doit être rejeté dans la mesure où il est recevable, aux frais du recourant ( art. 66 al. 1 LTF ). Il n'y a pas lieu d'allouer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