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932/2020 vom 7. Dezember 2020</w:t>
      </w:r>
    </w:p>
    <w:p>
      <w:r>
        <w:t>Bundesgericht, 2020-12-07, IT</w:t>
      </w:r>
    </w:p>
    <w:p>
      <w:r>
        <w:rPr>
          <w:b/>
        </w:rPr>
        <w:t xml:space="preserve">Quelle: </w:t>
      </w:r>
      <w:r>
        <w:t>https://mcp.opencaselaw.ch/entscheid/bger_5A_932_2020</w:t>
      </w:r>
    </w:p>
    <w:p>
      <w:r>
        <w:t>FR: TF 5A 932/2020 du 7 décembre 2020</w:t>
      </w:r>
    </w:p>
    <w:p>
      <w:r>
        <w:t>IT: TF 5A 932/2020 del 7 dicembre 2020</w:t>
      </w:r>
    </w:p>
    <w:p>
      <w:pPr>
        <w:pStyle w:val="Heading2"/>
      </w:pPr>
      <w:r>
        <w:t>Regeste</w:t>
      </w:r>
    </w:p>
    <w:p>
      <w:r>
        <w:t>curatela | Diritto di famiglia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Dal 2013 A.________ è posto al beneficio di una curatela generale ai sensi dell' art. 398 CC (in precedenza era stato al beneficio di una curatela amministrativa e poi di una tutela volontaria). Nel 2019 egli ha chiesto all'Autorità regionale di protezione 11 sede di Losone di revocare la misura. Dopo aver fatto esperire una perizia psichiatrica e preso atto delle osservazioni presentate dalla curatrice B.________, con decisione 9/10 luglio 2020 l'autorità di protezione ha respinto l'istanza. Con scritto 23 ottobre 2020 A.________ ha chiesto alla Camera di protezione del Tribunale d'appello del Cantone Ticino " la restituzione dell'esercizio dei diritti civili ". Mediante sentenza 29 ottobre 2020 la Corte cantonale ha dichiarato inammissibile tale istanza, osservando che A.________ non manifestava la volontà di introdurre un reclamo avverso la decisione 9/10 luglio 2020 dell'autorità di protezione (reclamo che sarebbe in ogni modo stato irricevibile in quanto tardivo) e che la richiesta di restituzione dell'esercizio dei diritti civili non poteva essere rivolta direttamente alla Camera di protezione, pena la violazione del doppio grado di giurisdizione.</w:t>
      </w:r>
    </w:p>
    <w:p>
      <w:r>
        <w:rPr>
          <w:b/>
        </w:rPr>
        <w:t>E. 2</w:t>
      </w:r>
    </w:p>
    <w:p>
      <w:r>
        <w:t>Con " ricorso " datato 4 novembre 2020 A.________ ha impugnato la sentenza cantonale dinanzi al Tribunale federale, chiedendo, in sostanza, la revoca della curatela generale e un risarcimento per " danni psicologici, morali e fisici ". Il ricorrente si è nuovamente rivolto al Tribunale federale mediante scritto 23 novembre 2020. Non sono state chieste determinazioni.</w:t>
      </w:r>
    </w:p>
    <w:p>
      <w:r>
        <w:rPr>
          <w:b/>
        </w:rPr>
        <w:t>E. 3</w:t>
      </w:r>
    </w:p>
    <w:p>
      <w:r>
        <w:t>L'atto ricorsuale al Tribunale federale deve contenere i motivi ( art. 42 cpv. 1 LTF ). Nei motivi il ricorrente deve spiegare, confrontandosi con i considerandi della sentenza impugnata, perché quest'ultima leda il diritto ( art. 42 cpv. 2 LTF ; DTF 143 II 283 consid. 1.2.2; 142 III 364 consid. 2.4). Per le violazioni di diritti fondamentali e di disposizioni di diritto cantonale e intercantonale le esigenze di motivazione sono più severe: il ricorrente deve indicare i diritti ritenuti lesi e spiegare, con un'argomentazione puntuale e precisa attinente alla sentenza impugnata, in cosa consista la violazione ( art. 106 cpv. 2 LTF ; DTF 143 II 283 consid. 1.2.2; 142 III 364 consid. 2.4). Il gravame all'esame non soddisfa le esigenze di motivazione degli art. 42 cpv. 2 e 106 cpv. 2 LTF. Il ricorrente, infatti, non si confronta minimamente con l'argomentazione posta a fondamento della sentenza cantonale di inammissibilità, ma si limita a esporre la sua versione dei fatti e a formulare accuse alla curatrice e alle autorità che si sono occupate del caso.</w:t>
      </w:r>
    </w:p>
    <w:p>
      <w:r>
        <w:rPr>
          <w:b/>
        </w:rPr>
        <w:t>E. 4</w:t>
      </w:r>
    </w:p>
    <w:p>
      <w:r>
        <w:t>Da quanto precede discende che il ricorso, manifestamente non motivato in modo sufficiente, può essere deciso nella procedura semplificata dell' art. 108 cpv. 1 lett. b LTF . Nella presente fattispecie si può rinunciare al prelievo di spese giudiziarie (art. 66 cpv. 1 seconda frase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