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5A_932/2017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https://mcp.opencaselaw.ch/entscheid/bger_5A_932_2017</w:t>
      </w:r>
    </w:p>
    <w:p>
      <w:r>
        <w:t>FR: TF 5A_932/2017 du 30 novembre 2017</w:t>
      </w:r>
    </w:p>
    <w:p>
      <w:r>
        <w:t>IT: TF 5A_932/2017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7 novembre 2017, la Chambre de surveillance de la Cour de justice du canton de Genève a déclaré ne pas entrer en matière sur la demande de révision formée par A.________ le 19 juin 2017 contre la décision rendue le 16 mars 2017 par la Chambre de surveillance de la Cour de justice dans la cause C/27105/2009-CS.</w:t>
      </w:r>
    </w:p>
    <w:p>
      <w:r>
        <w:rPr>
          <w:b/>
        </w:rPr>
        <w:t>E. 2</w:t>
      </w:r>
    </w:p>
    <w:p>
      <w:r>
        <w:t>Par acte remis à la Poste suisse le 21 novembre 2017, A.________ exerce un recours en matière civile au Tribunal fédéral. Elle expose que l'intimé " manipule " la justice car ils se sont mariés aux États-Unis le 31 mars 2002, mais que la transcription du mariage en Suisse est retardée par son "mari".</w:t>
      </w:r>
    </w:p>
    <w:p>
      <w:r>
        <w:t>La recourante ne soulève aucun grief tendant à démontrer que le raisonnement de la décision cantonale querellée serait contraire au droit ou à la Constitution. Il s'ensuit que le présent recours, qui ne correspond pas aux exigences minimales des art. 42 al. 2 et 106 al. 2 LTF, doit être déclaré irrecevable pour ce motif.</w:t>
      </w:r>
    </w:p>
    <w:p>
      <w:r>
        <w:t>De surcroît, le recours présente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b et c LTF.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