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5A_931/2015 vom 10. Juni 2016</w:t>
      </w:r>
    </w:p>
    <w:p>
      <w:r>
        <w:t>Bundesgericht, 2016-06-10, FR</w:t>
      </w:r>
    </w:p>
    <w:p>
      <w:r>
        <w:rPr>
          <w:b/>
        </w:rPr>
        <w:t xml:space="preserve">Quelle: </w:t>
      </w:r>
      <w:r>
        <w:t>https://mcp.opencaselaw.ch/entscheid/bger_5A_931_2015</w:t>
      </w:r>
    </w:p>
    <w:p>
      <w:r>
        <w:t>FR: TF 5A_931/2015 du 10 juin 2016</w:t>
      </w:r>
    </w:p>
    <w:p>
      <w:r>
        <w:t>IT: TF 5A_931/2015 del 10 giugno 2016</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cour cantonale retient que la valeur litigieuse atteint 30'000 fr. ( art. 74 al. 1 let. b LTF ); il a par ailleurs été déposé à temps ( art. 100 al. 1 LTF ) et les recourants, qui ont succombé dans leurs conclusions devant l'instance précédente, ont qualité pour recourir ( art. 76 LTF ). Le recours en matière civile est donc ouvert.</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w:t>
      </w:r>
    </w:p>
    <w:p>
      <w:r>
        <w:rPr>
          <w:b/>
        </w:rPr>
        <w:t>E. 3.1.1</w:t>
      </w:r>
    </w:p>
    <w:p>
      <w:r>
        <w:t>Le premier juge a considéré que l'accès à la voie publique depuis la parcelle des recourants était insuffisant " selon les conceptions actuelles et au regard de la jurisprudence ". Jugeant fondée la servitude de passage nécessaire, il a examiné ensuite à quel endroit celle-ci devait être constituée. Dès lors que l'inspection locale et le rapport d'expertise avaient permis de constater que le réaménagement de la servitude de passage à pied et pour tous véhicules grevant la parcelle no 1401 impliquerait la mise en oeuvre de travaux extrêmement importants, le premier juge a retenu qu'il était à l'évidence plus simple " pratiquement " et bien moins coûteux de constituer une servitude d'accès sur le chemin existant plutôt que de procéder à des travaux de démolition importants, qui entraveraient gravement les propriétaires de la parcelle no 1401 dans leurs droits, s'avéreraient très coûteux et provoqueraient de fortes nuisances pour l'ensemble du quartier pendant la durée des travaux.</w:t>
      </w:r>
    </w:p>
    <w:p>
      <w:r>
        <w:rPr>
          <w:b/>
        </w:rPr>
        <w:t>E. 3.1.2</w:t>
      </w:r>
    </w:p>
    <w:p>
      <w:r>
        <w:t>Les juges cantonaux ont estimé que les recourants n'avaient pas apporté la preuve de la nécessité du passage sollicité. Relevant que l'implantation de la servitude existante ID.2008/002389 grevant la parcelle no 1401 ne respectait pas le tracé figurant au registre foncier, la juridiction cantonale a néanmoins considéré qu'elle garantissait un accès carrossable suffisant moyennant certains aménagements, de sorte qu'il n'importait pas de savoir, au sens de l' art. 694 CC , si un accès plus commode ou moins onéreux pourrait être réalisé ailleurs. Les recourants n'avaient de surcroît pas démontré le caractère disproportionné de l'aménagement de la servitude existante, le premier juge ne pouvant à cet égard se fonder sur la seule constatation de l'expert selon laquelle dits travaux auraient un " coût important " et qu'il était " plus simple " et " bien moins coûteux " de constituer une servitude d'accès sur le chemin existant plutôt que de procéder à des travaux d'aménagement importants.</w:t>
      </w:r>
    </w:p>
    <w:p>
      <w:r>
        <w:rPr>
          <w:b/>
        </w:rPr>
        <w:t>E. 3.2</w:t>
      </w:r>
    </w:p>
    <w:p>
      <w:r>
        <w:t>Les recourants soutiennent d'abord qu'ils ne disposeraient d'aucun moyen de droit public permettant d'assurer une issue carrossable à leur parcelle, de sorte que le litige devait s'examiner sous l'angle de l' art. 694 CC . Ils affirment ensuite que la cour cantonale n'aurait eu qu'une lecture partielle et donc fausse du rapport d'expertise. Il ressortait en effet de celui-ci que les travaux permettant de rétablir l'assiette de la servitude étaient exorbitants dès lors qu'ils nécessitaient la démolition d'un mur de soutènement, la suppression d'une fenêtre du rez-de-chaussée du bâtiment érigé sur la parcelle no 1401 ainsi que la destruction d'un balcon de cet immeuble qui empiétait sur l'assiette de la servitude. Les recourants en déduisent que ces travaux, qui, au demeurant, ne permettraient pas d'assurer l'accès suffisant pour des véhicules de chantier, seraient hors de proportion avec la concession du droit de passage qu'ils sollicitaient. Les recourants relèvent enfin que la cour cantonale aurait par ailleurs omis qu'ils ne pouvaient plus, de bonne foi, exiger le réaménagement de la servitude de passage en tant que ces limitations à l'exercice de la servitude étaient visibles sur le terrain lorsqu'ils avaient acquis leur bien-fonds.</w:t>
      </w:r>
    </w:p>
    <w:p>
      <w:r>
        <w:rPr>
          <w:b/>
        </w:rPr>
        <w:t>E. 3.3.1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 expropriation privée " ( ATF 136 III 130 consid. 3.1; 114 II 230 consid. 4a), de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136 III 130 consid. 3.1; 120 II 185 consid. 2a et la référence). Il n'y a nécessité que si une utilisation ou une exploitation conforme à la destination du fonds exige un accès à la voie publique et que celui-ci fait totalement défaut ou est très entravé ( ATF 136 III 130 consid. 3.1 p. 134 et la référence).</w:t>
      </w:r>
    </w:p>
    <w:p>
      <w:r>
        <w:rPr>
          <w:b/>
        </w:rPr>
        <w:t>E. 3.3.2</w:t>
      </w:r>
    </w:p>
    <w:p>
      <w:r>
        <w:t>Selon la jurisprudence, l'utilisation ou l'exploitation conforme à la destination d'un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ne soit absolument nulle ( ATF 108 II 456 consid. 2; 136 III 130 consid. 3.2). 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 ATF 136 III 130 consid. 3.3.1).</w:t>
      </w:r>
    </w:p>
    <w:p>
      <w:r>
        <w:rPr>
          <w:b/>
        </w:rPr>
        <w:t>E. 3.3.3</w:t>
      </w:r>
    </w:p>
    <w:p>
      <w:r>
        <w:t>Une autorisation de construire n'est délivrée qu'à la condition que le terrain soit équipé ( art. 22 al. 2 let. b LAT ). Un terrain est réputé équipé lorsqu'il est desservi d'une manière adaptée à l'utilisation prévue par des voies d'accès ( art. 19 al. 1 LAT ). Ce sont les moyens de la planification qui déterminent en premier lieu l'accès suffisant; celui-ci peut également être aménagé par une convention privée conclue entre les propriétaires concernés ( ATF 136 III 130 consid. 3.3.2; 121 I 65 consid. 4a p. 69 sv.).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 ATF 136 III 130 consid. 3.3.2 et la référence).</w:t>
      </w:r>
    </w:p>
    <w:p>
      <w:r>
        <w:rPr>
          <w:b/>
        </w:rPr>
        <w:t>E. 3.3.4</w:t>
      </w:r>
    </w:p>
    <w:p>
      <w:r>
        <w:t>La notion de droit de passage nécessaire au sens de l' art. 694 CC est indépendante des règles cantonales ou communales en matière de construction; en tant que notion de droit privé, elle doit être interprétée selon des critères uniformes sur tout le territoire suisse. Il s'ensuit que le passage nécessaire ne saurait être octroyé pour satisfaire aux exigences plus strictes que le droit public imposerait ( ATF 136 III 130 consid. 3.3.3 et les références). Selon la jurisprudence, le propriétaire d'un bien-fonds situé dans une zone d'habitation peut prétendre pouvoir accéder à sa parcelle avec un véhicule à moteur pour autant que la topographie des lieux le permette ( ATF 136 III 130 consid. 3.3.3 et les références).</w:t>
      </w:r>
    </w:p>
    <w:p>
      <w:r>
        <w:rPr>
          <w:b/>
        </w:rPr>
        <w:t>E. 3.3.5</w:t>
      </w:r>
    </w:p>
    <w:p>
      <w:r>
        <w:t>La comparaison des exigences posées pour l'obtention d'un accès suffisant selon le droit public et pour l'octroi d'un passage nécessaire de droit privé démontre qu'en règle générale, celui-ci doit être refusé si un accès existe en vertu du droit public.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Il convient néanmoins de réserver la preuve que le droit civil confère exceptionnellement une prétention allant plus loin que le droit public ainsi qu'une éventuelle nullité de l'autorisation de construire; de même, il faut prendre en considération le fait que l'autorité qui délivre l'autorisation décide généralement de l'existence d'un accès suffisant avant l'exécution des travaux de construction, en se fondant sur les documents annexés à la requête et suite à une inspection des lieux. Si des modifications au projet approuvé s'imposent, pour des raisons techniques ou pour d'autres causes objectives, le juge civil doit les examiner ( ATF 136 III 130 consid. 3.3.4).</w:t>
      </w:r>
    </w:p>
    <w:p>
      <w:r>
        <w:rPr>
          <w:b/>
        </w:rPr>
        <w:t>E. 3.4</w:t>
      </w:r>
    </w:p>
    <w:p>
      <w:r>
        <w:t>Il ressort en l'espèce de l'état de fait établi par l'autorité cantonale que l'accès à la parcelle des recourants, tel que planifié dans la demande de permis de construire, était celui garanti par la servitude existant au bénéfice de leur parcelle, à savoir la servitude no ID.2008/002389, constituée à charge du bien-fonds no 1401. Les recourants défendaient alors le caractère suffisant de cet accès, à l'inverse de leur partie adverse, à savoir les propriétaires de la parcelle no 1401.</w:t>
      </w:r>
    </w:p>
    <w:p>
      <w:r>
        <w:t>Les recourants ont obtenu l'autorisation de construire de la municipalité de U.________ le 23 juillet 2012, autorisation confirmée par arrêt de la CDAP du 22 mars 2013. Dans sa décision, la CDAP a constaté que l'issue planifiée ne permettait pas un accès motorisé à la parcelle des recourants, la servitude dont bénéficiait leur bien-fonds à charge de la parcelle no 1401, bien que leur garantissant un tel accès, ne pouvant en réalité être empruntée qu'à pied; les recourants n'avaient néanmoins pas prévu d'aménager cet accès pour le rendre conforme à l'assiette de la servitude telle que décrite au registre foncier. Les juges de la CDAP ont toutefois relevé que dit accès, certes uniquement piétonnier, était praticable et que l'ancienne propriétaire des lieux s'était accommodée de cette situation pendant de nombreuses années, circonstances lui permettant de conclure que l'accès était suffisant et satisfaisait aux exigences d'équipement posées à l' art. 19 LAT , étant précisé que les services publics accédaient à la parcelle des recourants par le chemin X.________. Or cette décision n'est pas manifestement nulle et les recourants ne soutiennent pas qu'elle le serait. Le juge civil peut donc en principe se fonder sur celle-ci, ce d'autant plus que les recourants ont sciemment conçu leur projet de construction avec une telle issue, qu'ils estimaient alors suffisante. Le fait que la présente procédure suivait son cours parallèlement n'y change rien.</w:t>
      </w:r>
    </w:p>
    <w:p>
      <w:r>
        <w:t>Dans ces conditions, c'est à juste titre que la cour cantonale a refusé de leur octroyer le droit de passage sollicité, la question de l'aménagement de la servitude de passage actuelle conformément au libellé inscrit au registre foncier pouvant demeurer indécise en l'état en tant que cette mise en conformité nécessite l'ouverture d'une procédure à l'encontre des propriétaires de la parcelle grevée no 1401. Ce n'est qu'à supposer que cet aménagement ne soit pas envisageable - d'un point de vue technique ou juridique (publicité naturelle du registre foncier; ATF 137 III 145 consid. 3.3.3; 153 consid. 4.2.3) - que l'éventualité d'un passage nécessaire par le chemin X.________ pourra entrer en considération.</w:t>
      </w:r>
    </w:p>
    <w:p>
      <w:r>
        <w:rPr>
          <w:b/>
        </w:rPr>
        <w:t>E. 4</w:t>
      </w:r>
    </w:p>
    <w:p>
      <w:r>
        <w:t>Dans un dernier grief, les recourants reprochent à la cour cantonale une motivation lacunaire quant au rejet de leurs conclusions concernant l'octroi d'un passage pour des canalisations ( art. 691 CC ).</w:t>
      </w:r>
    </w:p>
    <w:p>
      <w:r>
        <w:t>Dans un courrier du 10 octobre 2014 destiné à préciser leurs conclusions, les recourants ont indiqué que la servitude sollicitée concernait non seulement un passage à pied et pour tous véhicules mais également pour des canalisations quelconques. Aucun argument de fond n'a cependant été développé par les intéressés sur ce point; le jugement de première instance, qui y a fait droit, n'a pas non plus motivé sa décision à ce sujet, du moins d'un point de vue matériel. Il faut donc en conclure que cette modification, que les recourants ont d'ailleurs déclaré formuler par " surabondance mais également par prudence ", vise manifestement à se calquer sur le libellé des servitudes dont ils entendent profiter, tel qu'il figure au registre foncier. Cette conclusion est confirmée par les précisions que les intéressés ont encore formulées lors de l'audience de jugement du 3 décembre 2014 (supra consid. B.a in fine). La cour cantonale n'avait en conséquence pas à examiner cette conclusion dès lors que, dénuée de tout raisonnement juridique permettant de la justifier, elle était à l'évidence subordonnée à la question du passage nécessaire.</w:t>
      </w:r>
    </w:p>
    <w:p>
      <w:r>
        <w:rPr>
          <w:b/>
        </w:rPr>
        <w:t>E. 5</w:t>
      </w:r>
    </w:p>
    <w:p>
      <w:r>
        <w:t>Le recours doit en définitive être rejeté, aux frais de ses auteurs, solidairement entre eux ( art. 66 al. 1 et 5 LTF ). Aucun dépens n'est attribué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