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5A_928/2025 vom 27. Januar 2026</w:t>
      </w:r>
    </w:p>
    <w:p>
      <w:r>
        <w:t>Bundesgericht, 2026-01-27, FR</w:t>
      </w:r>
    </w:p>
    <w:p>
      <w:r>
        <w:rPr>
          <w:b/>
        </w:rPr>
        <w:t xml:space="preserve">Quelle: </w:t>
      </w:r>
      <w:r>
        <w:t>https://mcp.opencaselaw.ch/entscheid/bger_5A_928_2025</w:t>
      </w:r>
    </w:p>
    <w:p>
      <w:r>
        <w:t>FR: TF 5A_928/2025 du 27 janvier 2026</w:t>
      </w:r>
    </w:p>
    <w:p>
      <w:r>
        <w:t>IT: TF 5A_928/2025 del 27 gennaio 2026</w:t>
      </w:r>
    </w:p>
    <w:p>
      <w:pPr>
        <w:pStyle w:val="Heading2"/>
      </w:pPr>
      <w:r>
        <w:t>Erwägungen</w:t>
      </w:r>
    </w:p>
    <w:p>
      <w:r>
        <w:rPr>
          <w:b/>
        </w:rPr>
        <w:t>E. 1.1</w:t>
      </w:r>
    </w:p>
    <w:p>
      <w:r>
        <w:t>Le recours a été déposé en temps utile ( art. 100 al. 1 LTF ) contre une décision finale ( art. 90 LTF ) prise dans le domaine de la protection de l'adulte (art. 72 al. 2 let. b ch. 6 LTF), dans une affaire non pécuniaire (arrêt 5A_103/2024 du 26 septembre 2024 consid. 1 et les arrêts cités), par une autorité cantonale de dernière instance ayant statué sur recours ( art. 75 al. 1 et 2 LTF ). Il est en outre interjeté par une partie qui a qualité pour recourir ( art. 76 al. 1 LTF ).</w:t>
      </w:r>
    </w:p>
    <w:p>
      <w:r>
        <w:rPr>
          <w:b/>
        </w:rPr>
        <w:t>E. 1.2</w:t>
      </w:r>
    </w:p>
    <w:p>
      <w:r>
        <w:t>La recourante conclut principalement à la désignation de Me E.________ comme curateur. L'arrêt entrepris a déclaré irrecevable la même conclusion parce qu'elle avait été formulée après le délai de recours et, partant, était tardive et parce qu'elle était exorbitante à l'objet de la contestation, ce que la recourante ne conteste pas. Relevant que le recours cantonal ne contenait pas de conclusion précise et qu'il n'était pas clair si la recourante sollicitait la levée pure et simple de la curatelle ou uniquement un changement de curateurs, la Cour de justice a néanmoins examiné le recours sous ce second aspect également.</w:t>
      </w:r>
    </w:p>
    <w:p>
      <w:r>
        <w:t>Selon l' art. 99 al. 2 LTF , toute conclusion nouvelle est irrecevable devant le Tribunal fédéral. Les conclusions prises en instance fédérale ne doivent pas modifier l'objet du litige tel qu'il est délimité par la décision de dernière instance cantonale, sauf à le restreindre (arrêt 6B_694/2022 du 24 février 2023 consid. 1). Il est ainsi exclu de demander davantage ou autre chose que ce qui a été soumis à l'autorité précédente ( ATF 143 V 19 consid. 1.1), ce indépendamment de l'application de la maxime d'office en instance cantonale (arrêt 5A_597/2024 du 1er septembre 2025 consid. 3.1 et la référence).</w:t>
      </w:r>
    </w:p>
    <w:p>
      <w:r>
        <w:t>En l'occurrence, en concluant devant le Tribunal fédéral à la désignation de Me E.________ comme curateur privé, la recourante demande davantage que la levée de la curatelle ou un changement de curateurs refusés par la Cour de justice, dans la mesure où la proposition faite par la personne concernée de nommer un curateur déterminé implique de l'autorité de protection de vérifier si la personne proposée remplit les conditions requises et accepte la curatelle ( art. 401 al. 1 CC ), élargissant ainsi l'objet du litige. Sa conclusion principale est donc irrecevable, en tant qu'elle tend à la nomination de Me E.________ comme curateur. Dès lors que l'on comprend à la lecture de sa motivation que la recourante conteste plus largement le refus de la Cour de justice d'accéder à sa demande en changement de curateurs, il y a lieu d'entrer en matière sur le recours dans cette mesure.</w:t>
      </w:r>
    </w:p>
    <w:p>
      <w:r>
        <w:rPr>
          <w:b/>
        </w:rPr>
        <w:t>E. 2.1</w:t>
      </w:r>
    </w:p>
    <w:p>
      <w:r>
        <w:t>Le recours en matière civile peut être formé pour violation du droit, tel qu'il est délimité par les art. 95 s. LTF. Le Tribunal fédéral applique le droit d'office ( art. 106 al. 1 LTF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148 I 127 consid. 4.3; 147 IV 453 consid. 1; 146 IV 114 consid. 2.1).</w:t>
      </w:r>
    </w:p>
    <w:p>
      <w:r>
        <w:rPr>
          <w:b/>
        </w:rPr>
        <w:t>E. 2.2</w:t>
      </w:r>
    </w:p>
    <w:p>
      <w:r>
        <w:t>Le Tribunal fédéral statue sur la base des faits établis par l'autorité précédente ( art. 105 al. 1 LTF ), lesquels comprennent les constatations relatives au déroulement du procès devant les instances précédentes, soit les faits de la procédure ( ATF 140 III 16 consid. 1.3.1).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 supra consid. 2.1).</w:t>
      </w:r>
    </w:p>
    <w:p>
      <w:r>
        <w:t>En l'occurrence, le grief d'arbitraire dans l'établissement des faits soulevé dans le recours au motif que la Cour de justice aurait écarté des faits essentiels, notamment la lettre de l'OPAd recommandant la nomination d'un curateur privé, et se serait fondée sur des éléments unilatéraux doit d'emblée être écarté, dès lors que la recourante ne précise pas plus avant quelle lettre aurait, selon elle, été injustement écartée ni quels "éléments unilatéraux " auraient été pris en compte.</w:t>
      </w:r>
    </w:p>
    <w:p>
      <w:r>
        <w:rPr>
          <w:b/>
        </w:rPr>
        <w:t>E. 3.1</w:t>
      </w:r>
    </w:p>
    <w:p>
      <w:r>
        <w:t>La recourante explique rencontrer de graves difficultés liées à la sécurité de sa boîte aux lettres depuis décembre 2022 et avoir constaté plusieurs vols ou disparitions ponctuelles de correspondances. Elle avait d'ailleurs déposé une plainte pénale en 2025 au Ministère public, précisant que la preuve de ce dépôt pouvait être apportée à la demande du Tribunal de céans. Cette situation avait été signalée à ses curateurs, qui n'avaient jamais pris les mesures nécessaires pour assurer la sécurité et la confidentialité de son courrier officiel, ce qui contrevenait à leur devoir de protection et d'assistance prévu à l' art. 406 CC . Cela avait eu pour conséquence qu'elle n'avait reçu aucune des correspondances envoyées par la Cour de justice. Elle n'avait appris l'existence de la décision entreprise que le 24 octobre 2025 à 23h par courriel de Me E.________, soit trois jours seulement avant l'échéance du délai de recours. Cette situation portait directement atteinte à son droit d'être entendue ( art. 29 al. 2 Cst. ) et à son droit à une procédure équitable ( art. 6 par. 1 CEDH ).</w:t>
      </w:r>
    </w:p>
    <w:p>
      <w:r>
        <w:rPr>
          <w:b/>
        </w:rPr>
        <w:t>E. 3.2</w:t>
      </w:r>
    </w:p>
    <w:p>
      <w:r>
        <w:t>Il ne ressort pas de l'arrêt entrepris que la recourante aurait informé la Cour de justice de problèmes liés à la sécurité de sa boîte aux lettres et à la réception de son courrier. Pour s'en prévaloir, la recourante se devait ainsi de soulever un grief d'arbitraire dans l'établissement des faits correspondant (cf. supra consid. 2.2), ce qu'elle ne fait pas. Par ailleurs, elle n'établit aucunement ses allégations relatives à l'absence de réception de la correspondance de la Cour de justice ou à sa prise de connaissance tardive du prononcé de la décision entreprise. Dût-on prendre ces éléments en considération que l'on ne discernerait pas en quoi la Cour de justice aurait violé le droit d'être entendu de la recourante par l'envoi d'actes à son adresse de domicile. En effet, l' art. 138 al. 1 CPC prévoit que les citations, les ordonnances, et les décisions (cf. art. 136 let. a et b CPC ) sont notifiées par envoi recommandé ou d'une autre manière contre accusé de réception. La notification d'actes procéduraux doit se faire en principe à l'adresse de l'intéressé ( art. 133 let. a CPC ), soit au lieu de son domicile ( art. 23 CC ), à défaut à son lieu de résidence (arrêt 5A_825/2022 du 7 mars 2023 consid. 4.3.1). Selon l' art. 138 al. 3 let. a CPC ,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dès lors tenu de relever son courrier ou, s'il s'absente de son domicile, de prendre des dispositions pour que celui-ci lui parvienne néanmoins. À défaut, il est réputé avoir eu, à l'échéance du délai de garde, connaissance du contenu des plis recommandés que le juge lui adresse ( ATF 141 II 429 consid. 3.1; arrêt 5A_825/2022 précité consid. 4.5.1 et la référence). Une telle obligation signifie que le destinataire doit, le cas échéant, désigner un représentant, faire suivre son courrier, informer les autorités de son absence ou leur indiquer une adresse de notification ( ATF 146 IV 30 consid. 1.1.2; 141 II 429 consid. 3.1; 139 IV 228 consid. 1.1). La fiction de la notification à l'échéance du délai de garde suppose que l'avis de retrait a été déposé dans la boîte aux lettres du destinataire et qu'il soit arrivé par conséquent dans sa sphère privée (arrêt 5A_825/2022 précité consid. 4.5.1 et les références). En l'occurrence, en tant que partie à une procédure, la recourante devait s'attendre à une notification d'un acte judiciaire pendant toute la durée de celle-ci. Si elle l'estimait utile, le principe de la bonne foi lui imposait ainsi de faire en sorte que les actes communiqués par la Cour de justice puissent l'atteindre, par exemple en désignant un représentant. Sa seule allégation, au demeurant non établie, selon laquelle elle aurait vainement demandé à ses curateurs de prendre les mesures nécessaires pour assurer la sécurité et la confidentialité de la réception de son courrier officiel ne suffit pas à considérer qu'elle aurait pris toutes les dispositions que l'on pouvait attendre d'elle pour assurer la réception de son courrier. Il sera observé de surcroît que la recourante s'est déterminée à sept reprises dans la procédure de recours, deux fois après le dépôt des observations des curateurs du 24 février 2025 et cinq fois après le complément d'observations de l'OPAd du 2 mai 2025. De plus, dans l'hypothèse où elle aurait effectivement pris connaissance de la décision entreprise le 24 octobre 2025 comme allégué, elle disposait d'un délai supplémentaire pour compléter son recours compte tenu du délai de garde de sept jours à compter de l'échec de la notification de la décision entreprise par pli recommandé. Dans ces circonstances, l'on ne perçoit pas, faute pour la recourante de l'exposer, en quoi elle aurait concrètement été entravée dans l'exercice de ses droits.</w:t>
      </w:r>
    </w:p>
    <w:p>
      <w:r>
        <w:rPr>
          <w:b/>
        </w:rPr>
        <w:t>E. 4</w:t>
      </w:r>
    </w:p>
    <w:p>
      <w:r>
        <w:t>La recourante expose ne pas avoir pu participer effectivement à la procédure cantonale. Elle relève que "son absence à l'audience du 16 octobre 2024 était médicalement justifiée, mais la [Cour de justice] n'a pas examiné ce motif ni entendu le médecin traitant, violant l' art. 29 al. 2 Cst. ".</w:t>
      </w:r>
    </w:p>
    <w:p>
      <w:r>
        <w:t>L'on ne comprend pas si, par cette considération, la recourante se plaint d'avoir été privée de la possibilité de comparaître personnellement le 16 octobre 2024 devant le Tribunal de protection ou reproche à la Cour de justice de ne pas avoir examiné un de ses griefs à ce propos ou donné suite à une de ses offres de preuve tendant à l'audition de son médecin traitant. Quel que soit le sens à lui donner, la critique doit être écartée. Dans la première hypothèse, celle-ci aurait déjà pu être soulevée devant la Cour de justice dans le cadre de son recours cantonal, ce qui n'apparaît pas être le cas sans que la recourante démontre le contraire, de sorte qu'elle ne peut s'en prévaloir en instance fédérale ( art. 75 al. 1 LTF ; principe de l'épuisement matériel des instances: ATF 150 III 353 consid. 4.4.3; 147 III 172 consid. 2.2</w:t>
      </w:r>
    </w:p>
    <w:p>
      <w:r>
        <w:t>i.f. ; 146 III 203 consid. 3.3.4). Dans la seconde hypothèse, la critique présentée n'est pas suffisante à démontrer une violation du droit d'être entendu, dans la mesure où la recourante n'expose pas pour quel motif ou sur quelle base la Cour de justice aurait dû examiner la raison de son absence à l'audience du 16 octobre 2024 ou entendre son médecin traitant; de surcroît, elle ne précise pas en quoi cela serait déterminant sur l'issue de la cause.</w:t>
      </w:r>
    </w:p>
    <w:p>
      <w:r>
        <w:rPr>
          <w:b/>
        </w:rPr>
        <w:t>E. 5</w:t>
      </w:r>
    </w:p>
    <w:p>
      <w:r>
        <w:t>La recourante reproche encore à la Cour de justice d'avoir violé le principe de proportionnalité garanti aux art. 389 al. 2 CC et 5 al. 2 Cst., en n'examinant pas la possibilité d'instituer une curatelle plus limitée ou partagée.</w:t>
      </w:r>
    </w:p>
    <w:p>
      <w:r>
        <w:t>Le reproche est mal fondé. La cour cantonale a justifié l'étendue de la la curatelle. Elle a relevé que la recourante elle-même ne soutenait pas être en mesure de gérer seule ses affaires. Les professionnels qui l'entouraient avaient unanimement constaté son besoin d'aide, notamment pour trouver un nouveau lieu de vie dans le cas où la résiliation de son bail devait être confirmée et pour gérer sa situation administrative et financière, la recourante éprouvant déjà des difficultés pour prendre connaissance de son courrier. En outre, le besoin de protection de la recourante, qui souffrait d'un trouble dépressif récurrent et de traits de personnalité émotionnellement labiles, semblait s'être encore accru depuis que le prononcé de l'ordonnance de première instance, le Tribunal de protection ayant ouvert une procédure de placement à des fins d'assistance à la suite d'un nouveau signalement des autorités communales. La recourante ne discutant pas ces motifs, elle ne démontre pas que la décision entreprise méconnaîtrait le principe de proportionnalité.</w:t>
      </w:r>
    </w:p>
    <w:p>
      <w:r>
        <w:rPr>
          <w:b/>
        </w:rPr>
        <w:t>E. 6</w:t>
      </w:r>
    </w:p>
    <w:p>
      <w:r>
        <w:t>La recourante estime finalement que la Cour de justice a violé son droit à l'autonomie et au libre choix de son curateur ( art. 388 al. 2 et 401 CC ) puisqu'elle n'avait pas respecté son souhait de désigner Me E.________ comme curateur privé.</w:t>
      </w:r>
    </w:p>
    <w:p>
      <w:r>
        <w:rPr>
          <w:b/>
        </w:rPr>
        <w:t>E. 6.1</w:t>
      </w:r>
    </w:p>
    <w:p>
      <w:r>
        <w:t>Elle indique collaborer exclusivement avec le dénommé depuis quelques mois, bien que celui-ci ne soit pas formellement mandaté, et que cette collaboration se déroule dans un climat de confiance, de stabilité et d'efficacité. À l'inverse, toute communication avec les curateurs de l'OPAd provoque chez elle des malaises physiques graves. Leur désignation aggrave sa santé et un changement de curateurs est non seulement justifié, mais également nécessaire à sa sécurité et à son équilibre. La motivation cantonale selon laquelle rien ne permettait de garantir qu'un curateur privé parvienne à instaurer une meilleure et plus efficiente collaboration reposait sur une simple supposition, sans analyse individualisée ni constatation factuelle concrète. Dès lors qu'elle était dépourvue de ressources, la rémunération de ce curateur devait être intégralement assumée par l'État de Genève. L'art. 10 al. 1 du Règlement cantonal genevois fixant la rémunération des curateurs (RRC; RS/GE E 1 05.15), dont la recourante invoque en outre qu'il aurait été appliqué de manière arbitraire par la Cour de justice, autorisait la désignation d'un curateur privé professionnel aux frais de l'État lorsqu'un motif s'oppose à la désignation d'un curateur officiel. Selon la recourante, le conflit profond et durable avec l'OPAd constituait un tel motif.</w:t>
      </w:r>
    </w:p>
    <w:p>
      <w:r>
        <w:rPr>
          <w:b/>
        </w:rPr>
        <w:t>E. 6.2</w:t>
      </w:r>
    </w:p>
    <w:p>
      <w:r>
        <w:t>En tant que la recourante fait grief à la Cour de justice de ne pas avoir respecté son souhait que Me E.________ soit désigné comme son curateur, sa critique doit être d'emblée écartée dans la mesure où elle sort de l'objet du litige (cf. supra consid. 1.2).</w:t>
      </w:r>
    </w:p>
    <w:p>
      <w:r>
        <w:t>Cela étant, selon l' art. 401 al. 3 CC , l'autorité de protection de l'adulte doit tenir compte autant que possible des objections que la personne concernée soulève à la nomination d'une personne déterminée. Le droit de l'intéressé de refuser la nomination d'une personne n'est cependant pas absolu car il y a lieu d'éviter que des refus répétés n'empêchent d'instituer la curatelle. Lorsque la personne concernée formule des objections, l'autorité de protection de l'adulte doit examiner si celles-ci sont objectivement plausibles. Il y a lieu de se montrer moins strict dans l'appréciation des objections lorsque la personne s'oppose, pour la première fois, à ce qu'une personne soit désignée comme curateur et qu'elle ne conteste pas la mesure en tant que telle ( ATF 140 III 1 consid. 4.3.2).</w:t>
      </w:r>
    </w:p>
    <w:p>
      <w:r>
        <w:t>En l'occurrence, les considérations de la recourante relatives aux graves atteintes à sa santé, à sa sécurité et à son équilibre que le maintien des curateurs actuels provoquerait chez elle ne reposent sur aucune pièce ni élément concret. Contrairement à ce qu'elle prétend, il n'apparaît par ailleurs pas que l'on puisse considérer que les doutes exprimés par la Cour de justice concernant la garantie d'une meilleure collaboration qu'offrirait la nomination d'un curateur privé seraient dépourvus d'assise, ceux-ci prenant appui sur les difficultés de communication que la recourante connaît ou a connu avec les institutions, le réseau de professionnels qui l'entourent et le Tribunal de protection, ce que la recourante ne conteste pas. Au surplus, celle-ci ne s'en prend pas aux motifs pris dans l'arrêt entrepris pour rejeter ses griefs à l'encontre des curateurs de l'OPAd, à savoir qu'ils n'étaient pas objectivés, que les démarches entreprises par les curateurs avaient notamment permis à la recourante de percevoir des prestations de l'Hospice général, d'obtenir des aides étatiques afin de solder des dettes, de déposer un dossier visant l'octroi d'une rente d'assurance-invalidité, d'effectuer une inscription sur une liste d'attente pour un logement et d'obtenir de la régie qu'elle fasse exécuter certains travaux dans son appartement, et que le dossier ne permettait pas de retenir que ses curateurs avaient failli dans leur mission, ni dans la relation qu'ils entreprenaient avec leur protégée.</w:t>
      </w:r>
    </w:p>
    <w:p>
      <w:r>
        <w:t>Dans ces circonstances, il n'apparaît pas que l'on puisse considérer que le refus de la Cour de justice d'accéder à sa demande en changement de curateurs est contraire au droit.</w:t>
      </w:r>
    </w:p>
    <w:p>
      <w:r>
        <w:rPr>
          <w:b/>
        </w:rPr>
        <w:t>E. 7</w:t>
      </w:r>
    </w:p>
    <w:p>
      <w:r>
        <w:t>En définitive, le recours doit être rejeté, dans la mesure de sa recevabilité. Comme celui-ci était d'emblée voué à l'échec, la requête d'assistance judiciaire ne saurait être agréée ( art. 64 al. 1 LTF ). Les frais de la présente procédure sont mis à la charge de la recourante, qui succombe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