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5A_928/2018 vom 12. April 2019</w:t>
      </w:r>
    </w:p>
    <w:p>
      <w:r>
        <w:t>Bundesgericht, 2019-04-12, FR</w:t>
      </w:r>
    </w:p>
    <w:p>
      <w:r>
        <w:rPr>
          <w:b/>
        </w:rPr>
        <w:t xml:space="preserve">Quelle: </w:t>
      </w:r>
      <w:r>
        <w:t>https://mcp.opencaselaw.ch/entscheid/bger_5A_928_2018</w:t>
      </w:r>
    </w:p>
    <w:p>
      <w:r>
        <w:t>FR: TF 5A_928/2018 du 12 avril 2019</w:t>
      </w:r>
    </w:p>
    <w:p>
      <w:r>
        <w:t>IT: TF 5A_928/2018 del 12 aprile 2019</w:t>
      </w:r>
    </w:p>
    <w:p>
      <w:pPr>
        <w:pStyle w:val="Heading2"/>
      </w:pPr>
      <w:r>
        <w:t>Erwägungen</w:t>
      </w:r>
    </w:p>
    <w:p>
      <w:r>
        <w:rPr>
          <w:b/>
        </w:rPr>
        <w:t>E. 1</w:t>
      </w:r>
    </w:p>
    <w:p>
      <w:r>
        <w:t>Le présent recours a été interjeté en temps utile ( art. 100 al. 1 LTF ) contre une décision finale ( art. 90 LTF ; ATF 134 III 115 consid. 1.1) rendue en matière de poursuite pour dettes ( art. 72 al. 2 let. a LTF , en relation avec l' art. 80 LP ; ATF 134 III 520 consid. 1.1) par le tribunal supérieur d'un canton ayant statué sur recours ( art. 75 al. 1 et 2 LTF ). La valeur litigieuse est atteinte ( art. 74 al. 1 let. b LTF ). La poursuivante, qui a succombé devant l'autorité précédente, a qualité pour recourir ( art. 76 al. 1 LTF ). Le recours en matière civile est ainsi recevable au regard des dispositions qui précèdent.</w:t>
      </w:r>
    </w:p>
    <w:p>
      <w:r>
        <w:rPr>
          <w:b/>
        </w:rPr>
        <w:t>E. 2.1</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("principe d'allégation", art. 106 al. 2 LTF ; ATF 139 I 229 consid. 2.2; 137 II 305 consid. 3.3; 135 III 232 consid. 1.2, 397 consid. 1.4</w:t>
      </w:r>
    </w:p>
    <w:p>
      <w:r>
        <w:t>in fine ), c'est-à-dire s'ils ont été expressément soulevés et exposés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w:t>
      </w:r>
    </w:p>
    <w:p>
      <w:r>
        <w:t>in fine LTF). Le recourant qui soutient que les faits ont été établis d'une manière manifestement inexacte doit soulever ce grief en présentant une argumentation conforme au principe d'allégation susmentionné (cf.</w:t>
      </w:r>
    </w:p>
    <w:p>
      <w:r>
        <w:t>supra consid. 2.1).</w:t>
      </w:r>
    </w:p>
    <w:p>
      <w:r>
        <w:rPr>
          <w:b/>
        </w:rPr>
        <w:t>E. 3</w:t>
      </w:r>
    </w:p>
    <w:p>
      <w:r>
        <w:t>L'autorité cantonale a tout d'abord admis l'identité entre le titre authentique présenté devant le juge de la mainlevée et la créance déduite en poursuite. Elle a considéré que celles-ci résultaient toutes deux des divers prêts consentis par l'intimée à la recourante. En outre, la créance retenue dans le titre correspondait à la somme que la recourante devait à l'intimée le 8 août 2011, alors que la prétention déduite en poursuite correspondait au montant que, selon l'intimée, la recourante restait lui devoir au jour de la réquisition de poursuite.</w:t>
      </w:r>
    </w:p>
    <w:p>
      <w:r>
        <w:t>L'autorité cantonale a retenu que le titre authentique du 8 août 2011 valait titre de mainlevée en tant qu'il était clair et qu'aucune disposition de ce document ne permettait de retenir qu'en cas de remboursement partiel de la dette, le solde ferait l'objet d'une remise de dette, ni que le titre deviendrait caduc après l'exécution de la vente du château, soit le jour même de son établissement.</w:t>
      </w:r>
    </w:p>
    <w:p>
      <w:r>
        <w:rPr>
          <w:b/>
        </w:rPr>
        <w:t>E. 4</w:t>
      </w:r>
    </w:p>
    <w:p>
      <w:r>
        <w:t>La recourante se plaint d'arbitraire dans l'établissement des faits.</w:t>
      </w:r>
    </w:p>
    <w:p>
      <w:r>
        <w:rPr>
          <w:b/>
        </w:rPr>
        <w:t>E. 4.1</w:t>
      </w:r>
    </w:p>
    <w:p>
      <w:r>
        <w:t>Elle oppose à l'autorité cantonale de n'avoir pas tenu compte de l'arrêt cantonal rendu dans la procédure d'opposition à séquestre qu'elle a pourtant produit devant elle et qui établit que le montant sur lequel le séquestre doit porter s'élève à 4'102'649 fr. 25. Selon la recourante, l'autorité cantonale devait tenir compte de cet arrêt dans la mesure où la mainlevée ne peut pas être prononcée pour un montant supérieur à celui retenu dans la procédure de séquestre étant donné que la procédure de mainlevée a pour objet la validation du séquestre.</w:t>
      </w:r>
    </w:p>
    <w:p>
      <w:r>
        <w:rPr>
          <w:b/>
        </w:rPr>
        <w:t>E. 4.2.1</w:t>
      </w:r>
    </w:p>
    <w:p>
      <w:r>
        <w:t>En matière d'appréciation des preuves et d'établissement des faits, il n'y a arbitraire que lorsque l'autorité ne prend pas en compte, sans aucune raison sérieuse, notamment un élément de preuve propre à modifier la décision ( ATF 143 IV 500 consid. 1.1).</w:t>
      </w:r>
    </w:p>
    <w:p>
      <w:r>
        <w:rPr>
          <w:b/>
        </w:rPr>
        <w:t>E. 4.2.2</w:t>
      </w:r>
    </w:p>
    <w:p>
      <w:r>
        <w:t>Le séquestre est une mesure conservatoire provisoire; il est destiné à conserver des biens du débiteur afin que le créancier puisse être désintéressé sur ces mêmes biens s'il parvient à démontrer son droit, auquel cas il deviendra définitif ( ATF 135 III 551 consid. 2.3; STOFFEL/CHABLOZ, Voies d'exécution, 3</w:t>
      </w:r>
    </w:p>
    <w:p>
      <w:r>
        <w:t>ème éd., 2016, § 8 n° 2). Il est autorisé lorsque le requérant rend vraisemblable que sa créance existe (arrêt 5A_365/2012 du 17 août 2012 consid. 5.1, non publié</w:t>
      </w:r>
    </w:p>
    <w:p>
      <w:r>
        <w:t>in</w:t>
      </w:r>
    </w:p>
    <w:p>
      <w:r>
        <w:t>ATF 138 III 636 ). Le séquestre n'a pas d'autre fonction et, en particulier, n'accorde aucun privilège de droit matériel au séquestrant. Ce dernier ne peut obtenir la réalisation des biens mis sous main de justice sans avoir validé le séquestre dans une procédure permettant au débiteur de faire valoir ses moyens, en ce sens que le créancier doit obtenir un titre exécutoire (commandement de payer non frappé d'opposition ou dont l'opposition a été définitivement levée; arrêt 5A_673/2015 du 16 décembre 2015 consid. 4.1, publié</w:t>
      </w:r>
    </w:p>
    <w:p>
      <w:r>
        <w:t>in SJ 2016 I p. 379). Le séquestre ne préjuge donc en rien de la réalité ou de l'exigibilité de la prétention qui, au stade de l'autorisation de séquestre, ne sont examinées que sous l'angle de leur vraisemblance ( ATF 117 Ia 504 consid. 3).</w:t>
      </w:r>
    </w:p>
    <w:p>
      <w:r>
        <w:t>La validation peut se faire directement par une poursuite que le créancier peut introduire même avant l'octroi du séquestre ( ATF 138 III 528 consid. 4</w:t>
      </w:r>
    </w:p>
    <w:p>
      <w:r>
        <w:t>in initio ; art. 279 al. 1 LP ). Le séquestre est considéré comme validé une fois que le créancier séquestrant a valablement requis la continuation de la poursuite ( art. 279 al. 3 LP ). Si le débiteur forme opposition, le créancier doit donc requérir la mainlevée. La procédure de mainlevée a pour but de constater l'existence d'un titre exécutoire, le juge de la mainlevée ne se prononçant que sur la force probante du titre produit ( ATF 132 III 140 consid. 4.1.1 et les références).</w:t>
      </w:r>
    </w:p>
    <w:p>
      <w:r>
        <w:t>Il ressort de ce qui précède que, si la mainlevée, qui peut éventuellement être requise à l'occasion d'une poursuite, sert à valider le séquestre, les deux procédures n'ont pas le même objet. Le montant retenu pour fixer les biens à séquestrer ne détermine donc pas celui pour lequel la mainlevée peut être accordée.</w:t>
      </w:r>
    </w:p>
    <w:p>
      <w:r>
        <w:rPr>
          <w:b/>
        </w:rPr>
        <w:t>E. 4.2.3</w:t>
      </w:r>
    </w:p>
    <w:p>
      <w:r>
        <w:t>En l'espèce, le fait dont la recourante dénonce l'omission arbitraire n'est pas pertinent pour l'issue du litige. Son grief est donc irrecevable.</w:t>
      </w:r>
    </w:p>
    <w:p>
      <w:r>
        <w:rPr>
          <w:b/>
        </w:rPr>
        <w:t>E. 5</w:t>
      </w:r>
    </w:p>
    <w:p>
      <w:r>
        <w:t>La recourante se plaint de la violation de l'art. 80 al. 2 ch. 1</w:t>
      </w:r>
    </w:p>
    <w:p>
      <w:r>
        <w:t>bis LP. Elle soutient qu'il n'y a pas d'identité entre la prétention déduite en poursuite et la créance contenue dans le titre de mainlevée.</w:t>
      </w:r>
    </w:p>
    <w:p>
      <w:r>
        <w:rPr>
          <w:b/>
        </w:rPr>
        <w:t>E. 5.1</w:t>
      </w:r>
    </w:p>
    <w:p>
      <w:r>
        <w:t>La recourante expose que la prétention déduite en poursuite se monte à 4'298'190 fr. 40 en capital et à 63'507 fr. 80 en intérêts, alors que la créance établie dans le titre d'exécution directe du 8 août 2011 se monte à 5'618'190 fr. 40 et 398'458 fr. 40 et qu'il appartenait à l'intimée de justifier cette différence pour démontrer l'identité précitée. Elle prétend qu'elle ne sait pas à quoi correspondent les montants mis en poursuite et que l'intimée n'a jamais démontré les paiements intervenus en sa faveur tandis qu'elle a, pour sa part, démontré dans son mémoire de réponse du 9 avril 2018 avoir versé 2'514'000 fr. en faveur de l'intimée. Elle ajoute que l'intimée n'a pas expliqué non plus la date et la manière de calculer les intérêts de 63'507 fr. 80.</w:t>
      </w:r>
    </w:p>
    <w:p>
      <w:r>
        <w:rPr>
          <w:b/>
        </w:rPr>
        <w:t>E. 5.2</w:t>
      </w:r>
    </w:p>
    <w:p>
      <w:r>
        <w:t>Le commandement de payer doit contenir, notamment, le titre de la créance, par quoi il faut entendre par exemple le jugement exécutoire ou les titres assimilés, ou, à défaut, la cause de l'obligation, soit la source de la créance (art. 69 al. 1 ch. 1 et 67 al. 1 ch. 4 LP). Ces dispositions ont pour but de renseigner le poursuivi sur la créance alléguée et doivent lui permettre de prendre position ( ATF 141 III 173 consid. 2.2.2; arrêts 5A_8/2016 du 21 juin 2016 consid. 4.2; 5A_169/2009 du 3 novembre 2009 consid. 2.1). La mainlevée ne peut être prononcée par le juge que s'il y a, entre autres, identité entre la prétention déduite en poursuite et le titre présenté ( ATF 139 III 444 consid. 4.1.1; arrêt 5A_1001/2015 du 22 juin 2016 consid. 5.3.2, publié</w:t>
      </w:r>
    </w:p>
    <w:p>
      <w:r>
        <w:t>in BlSchK 2018 p. 4).</w:t>
      </w:r>
    </w:p>
    <w:p>
      <w:r>
        <w:rPr>
          <w:b/>
        </w:rPr>
        <w:t>E. 5.3</w:t>
      </w:r>
    </w:p>
    <w:p>
      <w:r>
        <w:t>En l'espèce, il ressort du commandement de payer en validation du séquestre, poursuite n° xx xxxxxx x, que l'intimée a mis en poursuite un montant en capital " d[û] sur la base du titre d'exécution directe du 8 août 2011" et un autre " correspondant aux intérêts déjà exigibles depuis le 8 août 2011". Elle a produit devant le juge de la mainlevée le titre d'exécution directe passé devant notaire le 8 août 2011. Il y a donc identité entre les prétentions déduites en poursuite et le titre. Autre est la question de savoir pour quels montants la mainlevée doit être prononcée sur la base de ce titre. L'intimée a mis en poursuite un montant moins élevé que celui ressortant du titre, de sorte que la mainlevée pouvait, au maximum, être accordée pour ce montant-là. Si la recourante considérait qu'elle avait procédé à d'autres remboursements, supérieurs à ceux que l'intimée avait déjà admis en diminuant sa créance mise en poursuite, il lui appartenait de démontrer immédiatement cette objection ( art. 81 al. 2 LP ). A cet égard, il sied de relever que la critique de la recourante selon laquelle elle aurait déjà effectué un versement de 2'514'000 fr. dont l'autorité cantonale n'aurait pas tenu compte doit être déclaré irrecevable: il est vrai que l'autorité cantonale ne discute pas ce point; toutefois, la recourante ne dénonce en lien avec celui-ci ni la violation de l' art. 9 Cst. dans l'établissement des faits, ni celle de son droit d'être entendu ( art. 29 al. 2 Cst. ) au motif qu'un de ses griefs n'aurait pas été traité.</w:t>
      </w:r>
    </w:p>
    <w:p>
      <w:r>
        <w:t>Il suit de là que le grief de la recourante doit être rejeté.</w:t>
      </w:r>
    </w:p>
    <w:p>
      <w:r>
        <w:rPr>
          <w:b/>
        </w:rPr>
        <w:t>E. 6</w:t>
      </w:r>
    </w:p>
    <w:p>
      <w:r>
        <w:t>La recourante se plaint de la violation de l' art. 81 al. 1 LP . Elle soutient que le titre d'exécution directe est éteint.</w:t>
      </w:r>
    </w:p>
    <w:p>
      <w:r>
        <w:rPr>
          <w:b/>
        </w:rPr>
        <w:t>E. 6.1</w:t>
      </w:r>
    </w:p>
    <w:p>
      <w:r>
        <w:t>La recourante expose que, par les termes " lors de l'exécution de la vente du Château de V.________ ", le titre contient une limitation temporelle, de sorte que, la vente ayant eu lieu et les remboursements effectués sur cette base également, la prestation prévue dans le titre est totalement éteinte.</w:t>
      </w:r>
    </w:p>
    <w:p>
      <w:r>
        <w:rPr>
          <w:b/>
        </w:rPr>
        <w:t>E. 6.2</w:t>
      </w:r>
    </w:p>
    <w:p>
      <w:r>
        <w:t>La procédure de mainlevée est une pure procédure d'exécution forcée, un incident de la poursuite. Le juge se limite à examiner le jugement exécutoire ou les titres y assimilés, ainsi que les trois identités - l'identité entre le poursuivant et le créancier désigné dans ce titre (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 ATF 139 III 444 consid. 4.1.1; arrêt 5A_58/2015 du 28 avril 2015 consid. 3, non publié</w:t>
      </w:r>
    </w:p>
    <w:p>
      <w:r>
        <w:t>in</w:t>
      </w:r>
    </w:p>
    <w:p>
      <w:r>
        <w:t>ATF 141 III 185 , publié</w:t>
      </w:r>
    </w:p>
    <w:p>
      <w:r>
        <w:t>in Pra 2016 (16) p. 120). Il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 ATF 143 III 564 consid. 4.3.1; 140 III 180 consid. 5.2.1; 124 III 501 consid. 3a et les références).</w:t>
      </w:r>
    </w:p>
    <w:p>
      <w:r>
        <w:rPr>
          <w:b/>
        </w:rPr>
        <w:t>E. 6.3</w:t>
      </w:r>
    </w:p>
    <w:p>
      <w:r>
        <w:t>En l'espèce, l'argumentation de l'autorité cantonale ne prête pas flanc à la critique. On peut intégralement y renvoyer en ajoutant que, outre que les créances étaient exigibles le 8 août 2011 lors de la vente du bien immobilier, le texte du titre authentique répète encore, après l'exposé des modalités d'exécution, que la recourante " reconnaît devoir à la société anonyme B.________ S.A. la sommeen capital de CHF 5'618'190.40 (cinq millions six cent dix-huit mille cent nonante francs quarante centimes) avec intérêts correspondant à CHF 398'458.85 (trois cent nonante-huit mille quatre cent cinquante-huit francs huitante cinq centimes), arrêtés au 8 août 2011". C'est donc à raison que l'autorité cantonale a considéré que le titre présenté était clair quant à l'obligation d'exécuter de la recourante et justifiait l'octroi de la mainlevée définitive.</w:t>
      </w:r>
    </w:p>
    <w:p>
      <w:r>
        <w:t>Il suit de là que le grief doit être rejeté.</w:t>
      </w:r>
    </w:p>
    <w:p>
      <w:r>
        <w:rPr>
          <w:b/>
        </w:rPr>
        <w:t>E. 7</w:t>
      </w:r>
    </w:p>
    <w:p>
      <w:r>
        <w:t>En définitive, le recours doit être rejeté dans la mesure de sa recevabilité. Les frais judiciaires, arrêtés à 12'000 fr., sont mis à la charge de la recourante qui succombe ( art. 66 al. 1 LTF ). Aucuns dépens ne sont dus à l'intimée, qui a succombé sur la question de l'effet suspensif et qui n'a pas été invitée à répondre sur le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