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5A_927/2018 vom 10. Mai 2019</w:t>
      </w:r>
    </w:p>
    <w:p>
      <w:r>
        <w:t>Bundesgericht, 2019-05-10, DE</w:t>
      </w:r>
    </w:p>
    <w:p>
      <w:r>
        <w:rPr>
          <w:b/>
        </w:rPr>
        <w:t xml:space="preserve">Quelle: </w:t>
      </w:r>
      <w:r>
        <w:t>https://mcp.opencaselaw.ch/entscheid/bger_5A_927_2018</w:t>
      </w:r>
    </w:p>
    <w:p>
      <w:r>
        <w:t>FR: TF 5A_927/2018 du 10 mai 2019</w:t>
      </w:r>
    </w:p>
    <w:p>
      <w:r>
        <w:t>IT: TF 5A_927/2018 del 10 maggio 2019</w:t>
      </w:r>
    </w:p>
    <w:p>
      <w:pPr>
        <w:pStyle w:val="Heading2"/>
      </w:pPr>
      <w:r>
        <w:t>Erwägungen</w:t>
      </w:r>
    </w:p>
    <w:p>
      <w:r>
        <w:rPr>
          <w:b/>
        </w:rPr>
        <w:t>E. 1.1</w:t>
      </w:r>
    </w:p>
    <w:p>
      <w:r>
        <w:t>Angefochten ist ein Endentscheid ( Art. 90 BGG ) einer letzten kantonalen Instanz, die als oberes Gericht ( Art. 75 BGG ) im Rahmen eines Eheschutzverfahrens über die Festlegung der Betreuungsanteile der obhutsberechtigten Eltern und damit über eine Zivilsache ohne Streitwert entschieden hat ( Art. 72 Abs. 1 BGG ). Die Beschwerde in Zivilsachen ist damit das zutreffende Rechtsmittel. Der Beschwerdeführer ist nach Art. 76 Abs. 1 BGG zur Beschwerde berechtigt, die er auch fristgerecht eingereicht hat ( Art. 100 Abs. 1 und Art. 45 Abs. 1 BGG ).</w:t>
      </w:r>
    </w:p>
    <w:p>
      <w:r>
        <w:rPr>
          <w:b/>
        </w:rPr>
        <w:t>E. 1.2</w:t>
      </w:r>
    </w:p>
    <w:p>
      <w:r>
        <w:t>Eheschutzentscheide gelten als Entscheide über vorsorgliche Massnahmen nach Art. 98 BGG ( BGE 133 III 393 E. 5.1 und 5.2). Mit der Beschwerde gegen solche Entscheide kann gemäss Art. 98 BGG nur die Verletzung verfassungsmässiger Rechte gerügt werden. Auch eine Berichtigung oder Ergänzung der Sachverhaltsfeststellungen der Vorinstanz kommt nur infrage, wenn diese verfassungsmässige Rechte verletzt hat (vgl. BGE 133 III 585 E. 4.1). Es gilt das strenge Rügeprinzip nach Art. 106 Abs. 2 BGG . Das bedeutet, dass der Schriftsatz der rechtsuchenden Partei die wesentlichen Tatsachen und eine kurz gefasste Darlegung darüber enthalten muss, welche verfassungsmässigen Rechte inwiefern durch den angefochtenen Entscheid verletzt worden sind. Das Bundesgericht prüft demnach nur klar und detailliert erhobene und soweit möglich belegte Rügen. Auf ungenügend begründete Rügen und rein appellatorische Kritik am angefochtenen Entscheid tritt es nicht ein ( BGE 141 I 36 E. 1.3; 140 III 264 E. 2.3). Wird eine Verletzung des Willkürverbots nach Art. 9 BV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2.1</w:t>
      </w:r>
    </w:p>
    <w:p>
      <w:r>
        <w:t>Der Beschwerdeführer erachtet die Festlegung der Betreuungsanteile durch das Kantonsgericht als willkürlich. Dabei ist strittig, ob das Kind in den ungeraden Kalenderwochen am Mittwoch durch die Mutter oder den Vater betreut wird.</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167 E. 2.1). Entsprechendes gilt auch für die Willkür bei der Sachverhaltsfeststellung (vgl. BGE 142 II 433 E. 4.4).</w:t>
      </w:r>
    </w:p>
    <w:p>
      <w:r>
        <w:rPr>
          <w:b/>
        </w:rPr>
        <w:t>E. 2.2</w:t>
      </w:r>
    </w:p>
    <w:p>
      <w:r>
        <w:t>Im Einzelnen rügt der Beschwerdeführer, die Betreuungszeiten des Vaters seien seit dem ursprünglichen Eheschutzentscheid vom 8. Juni 2016 kontinuierlich und grundlos eingeschränkt worden, was in stossender Weise dem Gerechtigkeitsgedanken zuwiderlaufe. Zwar sei zutreffend, dass die Betreuungsanteile vorab mit Blick auf das Kindeswohl festzulegen seien. Es liege jedoch nicht im Wohl des Sohnes, dass der Kontakt zum Vater weiter eingeschränkt werde. Mit der vom Beschwerdeführer beantragten Betreuungsregelung erhalte der Sohn eine zusätzliche Möglichkeit, wichtige Alltagsrituale (Mahlzeiten, abendliches Zubettbringen, usw.) gemeinsam mit dem Vater zu erleben. Dies sei sowohl für die Entwicklung des Kindes als auch für die Beziehung zwischen Vater und Sohn von grösster Wichtigkeit.</w:t>
      </w:r>
    </w:p>
    <w:p>
      <w:r>
        <w:t>Nicht nachvollziehbar sei das Argument des Kantonsgerichts, mit der verfügten Regelung werde eine grössere Regelmässigkeit im Wochenrhythmus des Kindes sichergestellt. Auch die vom Beschwerdeführer in Aussicht genommene Regelung führe zu keiner signifikanten Unregelmässigkeit in der Wochenstruktur, womit der angefochtene Entscheid mit der tatsächlichen Situation im klaren Widerspruch stehe. Es spreche auch nicht gegen eine (zusätzliche) Betreuung durch den Vater, wenn diesem die Grosseltern des Kindes behilflich seien. Ohnehin könne der Beschwerdeführer seine Arbeit so organisieren, dass er den Sohn auch unter der Woche problemlos am Nachmittag betreuen könne. Auch die Mutter müsse sodann einer Arbeit nachgehen, sodass auch sie auf die Mithilfe Dritter angewiesen sei.</w:t>
      </w:r>
    </w:p>
    <w:p>
      <w:r>
        <w:rPr>
          <w:b/>
        </w:rPr>
        <w:t>E. 2.3</w:t>
      </w:r>
    </w:p>
    <w:p>
      <w:r>
        <w:t>Mit diesen Ausführungen trägt der Beschwerdeführer nichts vor, was die vom Kantonsgericht getroffene Regelung als willkürlich erscheinen lassen könnte. Vielmehr beschränkt er sich auf die Darlegung seiner eigenen Auffassung bzw. auf die Begründung der von ihm vorgezogenen Regelung und macht geltend, die abweichende Lösung des Kantonsgerichts sei unhaltbar. Der Beschwerdeführer verkennt sodann die Funktion des Rechtsmittelverfahrens, wenn er davon spricht, die ursprüngliche Regelung sei kontinuierlich eingeschränkt worden. Mit dem Rechtsmittel findet eine Überprüfung des erstinstanzlichen Urteils statt (vgl. etwa MAX KUMMER, Grundriss des Zivilprozessrechts, 4. Aufl. 1984, S. 187 f.). Es dient nicht der Abänderung einer bereits rechtskräftigen Regelung, diesfalls allein von einer Einschränkung der dem Beschwerdeführer zugestandenen Betreuungszeit die Rede sein könnte. Soweit überhaupt auf sie eingetreten werden kann, erweist sich die Beschwerde nach dem Ausgeführten als unbegründet.</w:t>
      </w:r>
    </w:p>
    <w:p>
      <w:r>
        <w:rPr>
          <w:b/>
        </w:rPr>
        <w:t>E. 2.4</w:t>
      </w:r>
    </w:p>
    <w:p>
      <w:r>
        <w:t>Der Beschwerdeführer bestreitet sodann zu Recht nicht, dass das Bundesgericht in seinem Urteil 5A_888/2016 vom 20. April 2018 dem Kantonsgericht vorgegeben hat, eine Regelung der Betreuungsanteile zu finden, mit welcher kein Elternteil an den Wochenenden von der Betreuung des Kindes ausgeschlossen werde (vgl. Urteil, a.a.O., E. 4.1). Hieran war die Vorinstanz gebunden (vgl. BGE 143 IV 214 E. 5.3.3; 135 III 334 E. 2 [einleitend] und E. 2.1). Dem Urteil des Bundesgerichts lässt sich weiter entnehmen, dass beide Elternteile in der Betreuung des Kindes grundsätzlich gleichberechtigt sein sollen (vgl. etwa Urteil, a.a.O., E. 3.1, 3.2.1 und 4.2). Wie das Kantonsgericht richtig festhält, ist die nunmehr getroffene Betreuungsregelung auch in dieser Hinsicht ausgewogen, sodass der angefochtene Entscheid auch insoweit zu keinen Beanstandungen Anlass gibt.</w:t>
      </w:r>
    </w:p>
    <w:p>
      <w:r>
        <w:rPr>
          <w:b/>
        </w:rPr>
        <w:t>E. 3</w:t>
      </w:r>
    </w:p>
    <w:p>
      <w:r>
        <w:t>Zusammenfassend ist die Beschwerde abzuweisen, soweit darauf einzutreten ist. Bei diesem Ausgang des Verfahrens sind die Gerichtskosten dem Beschwerdeführer aufzuerlegen ( Art. 66 Abs. 1 BGG ). Der obsiegenden Beschwerdegegnerin sind mangels Einholens einer Vernehmlassung keine ersatzpflichtigen Kosten entstanden, sodass keine Parteientschädigung zu sprechen ist ( Art. 68 Abs. 1 und 2 BGG ). Das Gesuch des Beschwerdeführers um unentgeltliche Rechtspflege ist abzuweisen, da die Beschwerde nach dem Ausgeführten als von Anfang an aussichtlos beurteilt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