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5A_925/2018 vom 16. November 2018</w:t>
      </w:r>
    </w:p>
    <w:p>
      <w:r>
        <w:t>Bundesgericht, 2018-11-16, DE</w:t>
      </w:r>
    </w:p>
    <w:p>
      <w:r>
        <w:rPr>
          <w:b/>
        </w:rPr>
        <w:t xml:space="preserve">Quelle: </w:t>
      </w:r>
      <w:r>
        <w:t>https://mcp.opencaselaw.ch/entscheid/bger_5A_925_2018</w:t>
      </w:r>
    </w:p>
    <w:p>
      <w:r>
        <w:t>FR: TF 5A_925/2018 du 16 novembre 2018</w:t>
      </w:r>
    </w:p>
    <w:p>
      <w:r>
        <w:t>IT: TF 5A_925/2018 del 16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 es bei dieser Ausgangslage und angesichts der nachfolgenden Ausführungen nicht näher gelegen hätte, wenn das Obergericht der Beschwerdeführerin einen kurzen Brief geschrieben hätte, sei dahingestellt.</w:t>
      </w:r>
    </w:p>
    <w:p>
      <w:r>
        <w:t>Jedenfalls sind Fax-Eingaben ungenügend, weil sie keine Unterschrift im Sinn von Art. 42 Abs. 1 BGG enthalten. Eine auf Art. 42 Abs. 5 BGG gestützte Aufforderung an die Beschwerdeführerin zur Mängelbehebung durch persönliche Unterzeichnung erübrigt sich jedoch, weil es der Beschwerde ohnehin an jeglicher Begründung fehlt.</w:t>
      </w:r>
    </w:p>
    <w:p>
      <w:r>
        <w:t>Die Beschwerde hat nämlich eine Begründung zu enthalten, in welcher in gedrängter Form dargelegt wird, inwiefern der angefochtene Entscheid Recht verletzt ( Art. 42 Abs. 2 BGG ).</w:t>
      </w:r>
    </w:p>
    <w:p>
      <w:r>
        <w:t>Im Übrigen wäre nicht ersichtlich, inwiefern der umfassend begründete angefochtene Entscheid gegen Recht verstossen könnte.</w:t>
      </w:r>
    </w:p>
    <w:p>
      <w:r>
        <w:rPr>
          <w:b/>
        </w:rPr>
        <w:t>E. 2</w:t>
      </w:r>
    </w:p>
    <w:p>
      <w:r>
        <w:t>Nach dem Gesagten ist auf die Beschwerde nicht einzutreten, wobei der Präsident als Einzelrichter entscheidet ( Art. 108 Abs. 1 lit. b BGG ).</w:t>
      </w:r>
    </w:p>
    <w:p>
      <w:r>
        <w:rPr>
          <w:b/>
        </w:rPr>
        <w:t>E. 3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