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922/2023 vom 12. Dezember 2023</w:t>
      </w:r>
    </w:p>
    <w:p>
      <w:r>
        <w:t>Bundesgericht, 2023-12-12, DE</w:t>
      </w:r>
    </w:p>
    <w:p>
      <w:r>
        <w:rPr>
          <w:b/>
        </w:rPr>
        <w:t xml:space="preserve">Quelle: </w:t>
      </w:r>
      <w:r>
        <w:t>https://mcp.opencaselaw.ch/entscheid/bger_5A_922_2023</w:t>
      </w:r>
    </w:p>
    <w:p>
      <w:r>
        <w:t>FR: TF 5A 922/2023 du 12 décembre 2023</w:t>
      </w:r>
    </w:p>
    <w:p>
      <w:r>
        <w:t>IT: TF 5A 922/2023 del 12 dicembre 2023</w:t>
      </w:r>
    </w:p>
    <w:p>
      <w:pPr>
        <w:pStyle w:val="Heading2"/>
      </w:pPr>
      <w:r>
        <w:t>Regeste</w:t>
      </w:r>
    </w:p>
    <w:p>
      <w:r>
        <w:t>Pfändungsankündigung | Schuldbetreibungs- und Konkursrecht</w:t>
      </w:r>
    </w:p>
    <w:p>
      <w:pPr>
        <w:pStyle w:val="Heading2"/>
      </w:pPr>
      <w:r>
        <w:t>Erwägungen</w:t>
      </w:r>
    </w:p>
    <w:p>
      <w:r>
        <w:rPr>
          <w:b/>
        </w:rPr>
        <w:t>E. 1</w:t>
      </w:r>
    </w:p>
    <w:p>
      <w:r>
        <w:t>Die Beschwerde in Zivilsachen steht offen ( Art. 72 Abs. 2 lit. a, Art. 75 Abs. 1 und Art. 90 BGG ). Anfechtungsgegenstand kann allerdings nur die Frage des Pfändungsvollzuges bilden; soweit die Beschwerdeführerin anderes verlangt (Abweisung des Rechtsöffnungsgesuches, worüber ohnehin rechtskräftig entschieden ist; Löschung des Eintrages) kann auf die Beschwerde von vornherein nicht eingetreten werden ( BGE 136 II 457 E. 4.2; 136 V 362 E. 3.4.2 ; 142 I 155 E. 4.4.2). Indes wird auch in der Sache selbst kein hinreichendes Begehren gestellt ( Art. 42 Abs. 1 BGG ), denn bei reformatorischen Rechtsmitteln, wozu auch die Beschwerde in Zivilsachen gehört ( Art. 107 Abs. 1 BGG ), darf sich die beschwerdeführende Partei nicht darauf beschränken, die Aufhebung oder Kassation des angefochtenen Entscheides zu beantragen; vielmehr ist ein Antrag in der Sache zu stellen ( BGE 133 III 489 E. 3.1; 134 III 379 E. 1.3; 137 II 313 E. 1.3 ; 147 I 89 E. 1.2.5).</w:t>
      </w:r>
    </w:p>
    <w:p>
      <w:r>
        <w:rPr>
          <w:b/>
        </w:rPr>
        <w:t>E. 2</w:t>
      </w:r>
    </w:p>
    <w:p>
      <w:r>
        <w:t>Ferner ist zu beachten, dass die Vorinstanz auf das Rechtsmittel der Beschwerdeführerin nicht eingetreten ist. Anfechtungsgegenstand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 Die Beschwerdeführerin wirft dem Obergericht eine Verletzung zahlreicher Bestimmungen vor ( Art. 59 und 310 ZPO ; Art. 8, 9 und 29 BV ; Art. 6 und 13 EMRK ), ohne in nachvollziehbarer Weise darzulegen, worin die angeblichen Rechtsverletzungen genau bestehen sollen, und ohne sich in sachgerichteter Weise mit den Erwägungen des angefochtenen Beschlusses auseinanderzusetzen. Sie scheint sich an einer fehlenden materiellen Begründung zu stören; dies ist indes Folge des Nichteintretens, in welcher Hinsicht sie eine Rechtsverletzung darlegen müsste. Ferner scheint die Beschwerdeführerin zu monieren, dass ihr im kantonalen Beschwerdeverfahren die unentgeltliche Rechtspflege hätte erteilt werden müssen. Das Verfahren vor den kantonalen Aufsichtsbehörden ist jedoch - im Unterschied zum bundesgerichtlichen Verfahren - kostenlos ( Art. 20a Abs. 2 Ziff. 5 SchKG ) und es wurden der Beschwerdeführerin denn auch keine Kosten auferlegt. Insofern geht nicht nur das Vorbringen an der Sache vorbei, sondern würde es diesbezüglich auch an einer Beschwerde und somit an einem schutzwürdigen Interesse fehlen ( Art. 76 Abs. 1 lit. b BGG ).</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