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5A_922/2018 vom 16. November 2018</w:t>
      </w:r>
    </w:p>
    <w:p>
      <w:r>
        <w:t>Bundesgericht, 2018-11-16, DE</w:t>
      </w:r>
    </w:p>
    <w:p>
      <w:r>
        <w:rPr>
          <w:b/>
        </w:rPr>
        <w:t xml:space="preserve">Quelle: </w:t>
      </w:r>
      <w:r>
        <w:t>https://mcp.opencaselaw.ch/entscheid/bger_5A_922_2018</w:t>
      </w:r>
    </w:p>
    <w:p>
      <w:r>
        <w:t>FR: TF 5A_922/2018 du 16 novembre 2018</w:t>
      </w:r>
    </w:p>
    <w:p>
      <w:r>
        <w:t>IT: TF 5A_922/2018 del 16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Neue Begehren sind vor Bundesgericht unzulässig ( Art. 99 Abs. 2 BGG ). Soweit die Beschwerdeführerin mehr oder anderes verlangt, als von der Vorinstanz beurteilt wurde - dies betrifft v.a. die verlangten Abfindungssummen für psychischen Terror etc. -, ist darauf nicht einzutreten ( BGE 136 V 362 E. 3.4.2 S. 365; Urteil 5A_761/2016 vom 20. Juni 2017 E. 2.2.3).</w:t>
      </w:r>
    </w:p>
    <w:p>
      <w:r>
        <w:t>Betreffend die Beschwerdesache selbst enthalten die Eingaben entgegen Art. 42 Abs. 1 BGG kein Rechtsbegehren.</w:t>
      </w:r>
    </w:p>
    <w:p>
      <w:r>
        <w:rPr>
          <w:b/>
        </w:rPr>
        <w:t>E. 2</w:t>
      </w:r>
    </w:p>
    <w:p>
      <w:r>
        <w:t>Im Übrigen hat die Beschwerde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3</w:t>
      </w:r>
    </w:p>
    <w:p>
      <w:r>
        <w:t>Die Beschwerdeführerin setzt sich nicht mit dem angefochtenen Nichteintretensentscheid auseinander. Vielmehr macht sie - soweit die Ausführungen inhaltlich überhaupt zu erfassen sind - im Wesentlichen geltend, sie leide an keinem Schwächezustand und sei nie abhängig gewesen; sie könne nicht nachvollziehen, wie das Obergericht so eine Scheisse schreiben könne. Die kantonalen Sachverhaltsfeststellungen sind jedoch für das Bundesgericht grundsätzlich verbindlich ( Art. 105 Abs. 1 BGG ). Im Übrigen müsste kurz dargelegt werden, inwiefern das Obergericht Recht verletzt hat, indem es auf die kantonale Beschwerde nicht eingetreten ist.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