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922/2016 vom 14. Juli 2017</w:t>
      </w:r>
    </w:p>
    <w:p>
      <w:r>
        <w:t>Bundesgericht, 2017-07-14, DE</w:t>
      </w:r>
    </w:p>
    <w:p>
      <w:r>
        <w:rPr>
          <w:b/>
        </w:rPr>
        <w:t xml:space="preserve">Quelle: </w:t>
      </w:r>
      <w:r>
        <w:t>https://mcp.opencaselaw.ch/entscheid/bger_5A_922_2016</w:t>
      </w:r>
    </w:p>
    <w:p>
      <w:r>
        <w:t>FR: TF 5A 922/2016 du 14 juillet 2017</w:t>
      </w:r>
    </w:p>
    <w:p>
      <w:r>
        <w:t>IT: TF 5A 922/2016 del 14 luglio 2017</w:t>
      </w:r>
    </w:p>
    <w:p>
      <w:pPr>
        <w:pStyle w:val="Heading2"/>
      </w:pPr>
      <w:r>
        <w:t>Regeste</w:t>
      </w:r>
    </w:p>
    <w:p>
      <w:r>
        <w:t>Änderung eines Scheidungsurteils | Familienrecht</w:t>
      </w:r>
    </w:p>
    <w:p>
      <w:pPr>
        <w:pStyle w:val="Heading2"/>
      </w:pPr>
      <w:r>
        <w:t>Erwägungen</w:t>
      </w:r>
    </w:p>
    <w:p>
      <w:r>
        <w:rPr>
          <w:b/>
        </w:rPr>
        <w:t>E. 1.1</w:t>
      </w:r>
    </w:p>
    <w:p>
      <w:r>
        <w:t>Angefochten ist der Entscheid eines oberen kantonalen Gerichts in seiner Eigenschaft als Rechtsmittelinstanz ( Art. 75 Abs. 1 und 2 BGG ), der das Verfahren abschliesst ( Art. 90 BGG ). Er beschlägt die Unterhaltspflicht gegenüber der Beschwerdegegnerin sowie diverse Kinderbelange. Da nicht ausschliesslich finanzielle Aspekte betroffen sind, erweist sich die Beschwerde ungeachtet des Streitwertes als gegeben ( Art. 72 Abs. 1 BGG ; vgl. Urteil 5A_108/2007 vom 11. Mai 2007 E. 1.2). Der Beschwerdeführer erfüllt die Voraussetzungen von Art. 76 Abs. 1 BGG . Die Beschwerdefrist ist eingehalten ( Art. 100 Abs. 1 BGG ).</w:t>
      </w:r>
    </w:p>
    <w:p>
      <w:r>
        <w:rPr>
          <w:b/>
        </w:rPr>
        <w:t>E. 1.2</w:t>
      </w:r>
    </w:p>
    <w:p>
      <w:r>
        <w:t>Die Beschwerde hat einen Antrag zu enthalten ( Art. 42 Abs. 1 BGG ). In der Beschwerde ist in Auseinandersetzung mit den Erwägungen des angefochtenen Entscheides darzulegen, welche Rechte der Beschwerde führenden Partei durch das kantonale Gericht verletzt worden sind ( Art. 42 Abs. 2 BGG ; BGE 134 II 244 E. 2.1 S. 245), wobei eine allfällige Verletzung verfassungsmässiger Rechte vom Bundesgericht nicht von Amtes wegen, sondern nur dann geprüft wird, wenn solche Rügen in der Beschwerdeschrift ausdrücklich erhoben und begründet werden ( Art. 106 Abs. 2 BGG ; BGE 135 III 232 E. 1.2 S. 234). Blosse Verweise auf die Akten und andere Rechtsschriften sind unzulässig (vgl. BGE 126 III 198 E. 1d).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 Die Beschwerde vermag über weite Strecken den vorgenannten Anforderungen nicht zu genügen. Das betrifft insbesondere den ersten Teil der Beschwerde (Detaillierte Erklärungen). Insoweit ist auf die Beschwerde nicht einzutreten.</w:t>
      </w:r>
    </w:p>
    <w:p>
      <w:r>
        <w:rPr>
          <w:b/>
        </w:rPr>
        <w:t>E. 1.3</w:t>
      </w:r>
    </w:p>
    <w:p>
      <w:r>
        <w:t>Gegenstand des vorliegenden Beschwerdeverfahrens ist ausschliesslich der Entscheid des Obergerichts des Kantons Thurgau vom 27. Oktober 2016. Soweit der Beschwerdeführer andere Entscheide kritisiert, ist darauf nicht einzutreten.</w:t>
      </w:r>
    </w:p>
    <w:p>
      <w:r>
        <w:rPr>
          <w:b/>
        </w:rPr>
        <w:t>E. 2</w:t>
      </w:r>
    </w:p>
    <w:p>
      <w:r>
        <w:t>Strittig ist vorliegend, ob das Scheidungsurteil hinsichtlich der Regelung der Obhut für den gemeinsamen Sohn der Parteien, des Ferienrechts des Beschwerdeführers sowie des Unterhaltsbeitrages zugunsten der Beschwerdegegnerin abzuändern ist.</w:t>
      </w:r>
    </w:p>
    <w:p>
      <w:r>
        <w:rPr>
          <w:b/>
        </w:rPr>
        <w:t>E. 2.1</w:t>
      </w:r>
    </w:p>
    <w:p>
      <w:r>
        <w:t>Nach Art. 134 Abs. 1 und 2 i.V.m. Art. 298d Abs. 2 ZGB kann das Gericht die Obhut neu regeln, wenn dies wegen einer wesentlichen Änderung zur Wahrung des Kindeswohls nötig ist (Urteile 5A_428/2014 vom 22. Juli 2014 E. 6.2; 5A_63/2011 vom 1. Juni 2011 E. 2.4.1; 5A_697/2009 vom 4. März 2010 E. 3).</w:t>
      </w:r>
    </w:p>
    <w:p>
      <w:r>
        <w:rPr>
          <w:b/>
        </w:rPr>
        <w:t>E. 2.2</w:t>
      </w:r>
    </w:p>
    <w:p>
      <w:r>
        <w:t>Nach Art. 129 Abs. 1 ZGB kann eine Rente bei erheblicher und dauernder Veränderung der Verhältnisse herabgesetzt, aufgehoben oder für eine bestimmte Zeit eingestellt werden. Wie die Abänderungsklage gestützt auf Art. 286 Abs. 2 ZGB kann der entsprechende Rechtsbehelf nach Art. 129 Abs. 1 ZGB nicht dazu dienen, ein allenfalls fehlerhaftes rechtskräftiges Urteils zu korrigieren ( BGE 137 III 604 E. 4.1.1; Urteil 5A_677/2016 vom 16. Februar 2017 E. 2.1.1 mit Hinweis). Keinen Grund zur Anpassung bilden ferner absehbare Veränderungen der massgeblichen Verhältnisse, die bei der Festsetzung des Unterhaltsbeitrages schon berücksichtigt worden sind (zur Abänderung vorsorglicher Massnahmen im Scheidungsverfahren: BGE 141 III 376 E. 3.3.1 S. 378).</w:t>
      </w:r>
    </w:p>
    <w:p>
      <w:r>
        <w:rPr>
          <w:b/>
        </w:rPr>
        <w:t>E. 3.1</w:t>
      </w:r>
    </w:p>
    <w:p>
      <w:r>
        <w:t>Das Obergericht hat zur Frage der Obhut erwogen, der Beschwerdeführer begründe seinen Antrag auf Änderung der Obhutsregelung mit dem Hinweis, die Richterin habe gewusst, dass die Beschwerdegegnerin einen unordentlichen Haushalt führe und habe die Obhut dennoch bei ihr belassen. Bei diesem Vorbringen handle es sich aber nicht um eine neue Tatsache; vielmehr sei dieser Umstand von der Scheidungsrichterin berücksichtigt worden.</w:t>
      </w:r>
    </w:p>
    <w:p>
      <w:r>
        <w:rPr>
          <w:b/>
        </w:rPr>
        <w:t>E. 3.2</w:t>
      </w:r>
    </w:p>
    <w:p>
      <w:r>
        <w:t>Der Beschwerdeführer setzt sich mit der obergerichtlichen Erwägung nicht rechtsgenügend auseinander. Er beschränkt sich vielmehr darauf, im angefochtenen Urteil nicht festgestellte und damit neue Tatsachen vorzubringen, um eine Übertragung der Obhut auf ihn zu rechtfertigen. Insoweit ist auf die Beschwerde nicht einzutreten. Dass das Obergericht die behauptete, durch die Beschwerdegegnerin zu verantwortende Unordnung in der Wohnung im Rahmen des Abänderungsverfahrens nicht berücksichtigt hat, gibt zu keiner Beanstandung Anlass. Damit kritisiert der Beschwerdeführer im Ergebnis die Regelung des Scheidungsurteils, das mit der Abänderungsklage nicht korrigiert werden kann (E. 2.1 hiervor).</w:t>
      </w:r>
    </w:p>
    <w:p>
      <w:r>
        <w:rPr>
          <w:b/>
        </w:rPr>
        <w:t>E. 4.1</w:t>
      </w:r>
    </w:p>
    <w:p>
      <w:r>
        <w:t>Der Beschwerdeführer verlangt wie vor den kantonalen Instanzen, das Ferienrecht sei proportional zur effektiven Arbeitsleistung auszugestalten.</w:t>
      </w:r>
    </w:p>
    <w:p>
      <w:r>
        <w:rPr>
          <w:b/>
        </w:rPr>
        <w:t>E. 4.2</w:t>
      </w:r>
    </w:p>
    <w:p>
      <w:r>
        <w:t>Das Obergericht erachtete eine Ferienregelung im Sinne des Beschwerdeführers als dem Kindeswohl abträglich. Der Beschwerdeführer setzt sich mit der Argumentation der Vorinstanz nicht substanziiert auseinander. Im Übrigen gilt es nicht aus den Augen zu verlieren, dass auch die Beschwerdegegnerin einer ausserhäuslichen Arbeit nachgehen muss und die Hauptbetreuungsarbeit für den gemeinsamen Sohn leistet.</w:t>
      </w:r>
    </w:p>
    <w:p>
      <w:r>
        <w:rPr>
          <w:b/>
        </w:rPr>
        <w:t>E. 5.1</w:t>
      </w:r>
    </w:p>
    <w:p>
      <w:r>
        <w:t>Der Beschwerdeführer beharrte vor Obergericht auf dem Umstand, dass sein Lohn Fr. 4'813.-- und nicht Fr. 4'850.-- betrage. Das Obergericht hat das im Scheidungsurteil mit Fr. 4'850.-- angegebene Einkommen entgegen dem Antrag des Beschwerdeführers nicht korrigiert mit der Begründung, es handle sich nicht um eine erhebliche Änderung im Sinne von Art. 129 ZGB . Der Beschwerdeführer beharre zwar auf einem anrechenbaren Lohn von Fr. 4'813.--, habe aber in seinem Gesuch um unentgeltliche Rechtspflege seinen Lohn mit Fr. 4'818.--- angegeben. Aus dem eingereichten Lohnausweis über Fr. 60'488.-- netto ergebe sich ein Monatslohn von Fr. 5'040.--, was abzüglich der Kinderzulage ein Nettoeinkommen von Fr. 4'840.-- pro Monat ausmache.</w:t>
      </w:r>
    </w:p>
    <w:p>
      <w:r>
        <w:rPr>
          <w:b/>
        </w:rPr>
        <w:t>E. 5.2</w:t>
      </w:r>
    </w:p>
    <w:p>
      <w:r>
        <w:t>Der Beschwerdeführer hat im Scheidungsverfahren die Vereinbarung über die Nebenfolgen der Scheidung vom 19. März 2015 unterzeichnet, woraus sich ein monatlicher Nettolohn von Fr. 4'850.-- ergibt. Mit der Kritik am Lohn bringt er kein Novum vor, das angeblich eine Abänderung des Unterhaltsbeitrages zugunsten der Beschwerdegegnerin zu rechtfertigen vermag. Seine Rüge betrifft das Scheidungsurteil, das wie bereits mehrfach erwähnt, die Abänderungsklage nicht begründen kann. Im Übrigen legt der Beschwerdeführer nicht dar, inwiefern die Lohndifferenz von Fr. 37.-- (Fr. 4'850.-- - Fr. 4'813.--) eine erhebliche Veränderung der Verhältnisse bedeuten könnte.</w:t>
      </w:r>
    </w:p>
    <w:p>
      <w:r>
        <w:rPr>
          <w:b/>
        </w:rPr>
        <w:t>E. 6.1.1</w:t>
      </w:r>
    </w:p>
    <w:p>
      <w:r>
        <w:t>Das Obergericht hat im Existenzminimum des Beschwerdeführers die geltend gemachten Kosten für das Fahrzeug, die entsprechenden Fahrkosten und die Kosten für den Abstellplatz nicht berücksichtigt und hat dazu im Wesentlichen erwogen, gemäss Arbeitsvertrag und Bestätigung der Arbeitgeberin liege die individuelle Arbeitszeit des Beschwerdeführers im Zeitrahmen zwischen 05.00 Uhr und 23.00 Uhr, wobei die effektive Arbeitszeit von der Arbeitgeberin festgesetzt werde. Laut deren Angaben arbeite der Beschwerdeführer mehrheitlich in der Frühschicht von 05.30 Uhr bis 14.30 Uhr, womit ihm die Benutzung des öffentlichen Verkehrsmittels möglich sei. Für die Ausnahmefälle, d.h. an den Tagen, in denen der Beschwerdeführer nicht in der Frühschicht arbeite, habe die erste Instanz bereits eine Reserve im Existenzminimum vorgesehen. Im Übrigen gelte weiterhin, dass der Beschwerdeführer seinen Arbeitsweg von U.________ nach V.________ mit dem Moped oder mit dem Fahrrad bewältigen könne. Aus der Verwarnung der Arbeitgeberin wegen Unpünktlichkeit und Unkonzentriertheit ergebe sich einzig, dass der Beschwerdeführer trotz Benutzung des Autos verspätet zur Arbeit erschienen sei; abgesehen davon lasse sich dieser Beilage nichts Konkretes zur Schicht des Beschwerdeführers entnehmen. Die behaupteten gesundheitlichen Probleme bedingten kein Automobil. Laufe der Beschwerdeführer bei der Arbeit den ganzen Tag herum, könne er im Bus sitzen und sich ausruhen. Schliesslich sei ihm zuzumuten, den Sohn am Freitagabend mit dem Bus abzuholen und am folgenden Tag wieder mit dem Bus zurückzubringen.</w:t>
      </w:r>
    </w:p>
    <w:p>
      <w:r>
        <w:rPr>
          <w:b/>
        </w:rPr>
        <w:t>E. 6.1.2</w:t>
      </w:r>
    </w:p>
    <w:p>
      <w:r>
        <w:t>Soweit der Beschwerdeführer eine Anpassung des Existenzminimums verlangt, weil er bei seinem Bruder habe wohnen müssen, erweist sich die Beschwerde als unverständlich. Abgesehen davon wiederholt er im Wesentlichen den vor Obergericht vertretenen Standpunkt, ohne sich allerdings in verständlicher Form und substanziiert mit den Argumenten der Vorinstanz auseinanderzusetzen. Darauf ist nicht einzutreten.</w:t>
      </w:r>
    </w:p>
    <w:p>
      <w:r>
        <w:rPr>
          <w:b/>
        </w:rPr>
        <w:t>E. 6.2.1</w:t>
      </w:r>
    </w:p>
    <w:p>
      <w:r>
        <w:t>Aus dem angefochtenen Entscheid ergibt sich, dass die erste Instanz beim Beschwerdeführer einen monatlichen Krankenkassenbeitrag von Fr. 200.85 zugelassen hat. Sie berücksichtigte dabei namentlich, dass er im Jahr 2016 von einer jährlichen Prämienreduktion von Fr. 1'056.-- profitierte, die im Scheidungsverfahren nicht berücksichtigt worden sei, welche es indes nunmehr in die Rechnung miteinzubeziehen gelte. Das Obergericht hat dazu erwogen, der Beschwerdeführer mache geltend, seine Krankenkassenprämie betrage Fr. 230.-- nicht Fr. 200.85. Selbst wenn dies zutreffe, sei angesichts der im Scheidungsverfahren nicht berücksichtigten, nun aber mit einzubeziehenden Prämienreduktion keine Bundesrechtsverletzung auszumachen. Mit Bezug auf die geltend gemachten zusätzlichen von der Krankenkasse nicht gedeckten Arztkosten ging die Vorinstanz davon aus, die eingereichten Belege hielten sich bezüglich der geltend gemachten Arztkosten absolut unbestimmt; zudem seien diese Kosten fast allesamt erstmals im Berufungsverfahren geltend gemacht worden.</w:t>
      </w:r>
    </w:p>
    <w:p>
      <w:r>
        <w:rPr>
          <w:b/>
        </w:rPr>
        <w:t>E. 6.2.2</w:t>
      </w:r>
    </w:p>
    <w:p>
      <w:r>
        <w:t>Der Beschwerdeführer verlangt die Berücksichtigung der Prämie in der Höhe von rund Fr. 230.-- mit dem Hinweis, man habe ihm mit der Kürzung des Existenzminimums gedroht. Zudem wiederholt er die vor Obergericht vorgetragenen Argumente, ohne sich dabei allerdings explizit mit den obergerichtlichen Erwägungen auseinanderzusetzen. Abgesehen davon bringt er in unzulässiger Weise ( Art. 99 Abs. 1 BGG ) neue Zahlen bezüglich seiner ungedeckten Arztkosten vor. Soweit er nunmehr behauptet, er habe 2017 keinen Anspruch auf Reduktion der Krankenkassenprämie, zeigt er nicht auf, dass er bereits im kantonalen Verfahren darauf hingewiesen hat. Der Einwand ist damit neu und unzulässig ( Art. 99 Abs. 1 BGG ).</w:t>
      </w:r>
    </w:p>
    <w:p>
      <w:r>
        <w:rPr>
          <w:b/>
        </w:rPr>
        <w:t>E. 7</w:t>
      </w:r>
    </w:p>
    <w:p>
      <w:r>
        <w:t>Zusammenfassend hat der Beschwerdeführer nichts vorgetragen, was den Vorwurf der Bundesrechtsverletzung zu rechtfertigen vermöchte. Erweist sich die materielle Behandlung der Berufung durch das Obergericht als bundesrechtskonform, ist auch an der kantonalen Kostenregelung des angefochtenen Entscheides, soweit diese überhaupt beanstandet wird, nichts auszusetzen. Soweit der Beschwerdeführer überhaupt die Verweigerung der unentgeltlichen Rechtspflege für das kantonale Berufungsverfahren bemängelt, ist seiner Beschwerde angesichts des bundesrechtskonformen Entscheides ebensowenig Erfolg beschieden.</w:t>
      </w:r>
    </w:p>
    <w:p>
      <w:r>
        <w:rPr>
          <w:b/>
        </w:rPr>
        <w:t>E. 8</w:t>
      </w:r>
    </w:p>
    <w:p>
      <w:r>
        <w:t>Damit ist die Beschwerde abzuweisen, soweit darauf eingetreten werden kann. Bei diesem Ausgang des Verfahrens wird der Beschwerdeführer kostenpflichtig ( Art. 66 Abs. 1 BGG ). Er hat die Gegenpartei jedoch für das bundesgerichtliche Verfahren nicht zu entschädigen, da keine Vernehmlassung eingeholt worden ist.</w:t>
      </w:r>
    </w:p>
    <w:p>
      <w:r>
        <w:rPr>
          <w:b/>
        </w:rPr>
        <w:t>E. 9</w:t>
      </w:r>
    </w:p>
    <w:p>
      <w:r>
        <w:t>Wie die bisherigen Ausführungen zeigen, hat sich die Beschwerde als von Anfang an aussichtslos erwiesen. Fehlt es somit an einer der materiellen Voraussetzungen für die Gewährung der unentgeltlichen Rechtspflege, ist das entsprechende Gesuch des Beschwerdeführers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