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5A_921/2018 vom 28. Dezember 2018</w:t>
      </w:r>
    </w:p>
    <w:p>
      <w:r>
        <w:t>Bundesgericht, 2018-12-28, DE</w:t>
      </w:r>
    </w:p>
    <w:p>
      <w:r>
        <w:rPr>
          <w:b/>
        </w:rPr>
        <w:t xml:space="preserve">Quelle: </w:t>
      </w:r>
      <w:r>
        <w:t>https://mcp.opencaselaw.ch/entscheid/bger_5A_921_2018</w:t>
      </w:r>
    </w:p>
    <w:p>
      <w:r>
        <w:t>FR: TF 5A_921/2018 du 28 décembre 2018</w:t>
      </w:r>
    </w:p>
    <w:p>
      <w:r>
        <w:t>IT: TF 5A_921/2018 del 28 dicembre 2018</w:t>
      </w:r>
    </w:p>
    <w:p>
      <w:pPr>
        <w:pStyle w:val="Heading2"/>
      </w:pPr>
      <w:r>
        <w:t>Erwägungen</w:t>
      </w:r>
    </w:p>
    <w:p>
      <w:r>
        <w:rPr>
          <w:b/>
        </w:rPr>
        <w:t>E. 1</w:t>
      </w:r>
    </w:p>
    <w:p>
      <w:r>
        <w:t>Aus der Eingabe geht nicht klar hervor, ob A.________ im eigenen Namen, im Namen der Kinder oder im Namen der (keine offiziellen Funktionen ausübenden) "Ombudsstelle Kindes- und Erwachsenenschutz p.o. sz" und/oder ob die Ombudsstelle im Namen der Kinder oder im eigenen Namen handelt (im Kopfteil der ersten Seite erscheint die "Ombudsstelle Kindes- und Erwachsenenschutz p.o. sz" und darunter A.________ mit Adresse und Kontaktdaten; unterschrieben ist die Eingabe von A.________ für die Ombudsstelle; am Schluss der Beschwerde findet sich die Aussage, Beschwerdeführerin sei die Ombudsstelle; im Rubrum wird erwähnt "in Sachen C.________ und D.________ gegen KESB Ausserschwyz"; die Begründung enthält teils Ausführungen aus der persönlichen Optik von A.________, teils werden aber auch Rechte der Kinder als verletzt gerügt).</w:t>
      </w:r>
    </w:p>
    <w:p>
      <w:r>
        <w:t>Parteien können vor Bundesgericht nur von Anwälten vertreten werden, die nach dem Anwaltsgesetz vom 23. Juni 2000 (BGFA, SR 935.61) hierzu berechtigt sind ( Art. 40 Abs. 1 BGG ). Mithin kann die "Ombudsstelle Kindes- und Erwachsenenschutz p.o. sz" von vornherein nicht als Vertreterin der Kinder fungieren. Im bundesgerichtlichen Verfahren kann aber auch A.________ nicht im Namen der Kinder handeln, weil er als Dr. oec. publ. kein nach dem BGFA zur Parteivertretung vor Bundesgericht berechtigter Anwalt ist.</w:t>
      </w:r>
    </w:p>
    <w:p>
      <w:r>
        <w:t>Obwohl vieles dafür spricht, dass die Ombudsstelle als Beschwerdeführerin auftreten will, wird die Beschwerde - als einzige Möglichkeit, damit sie unter Vorbehalt der gesetzlichen Beschwerdeanforderungen (dazu E. 2) überhaupt behandelt werden kann - als von A.________ im eigenen Namen erhoben entgegengenommen. Das primäre Anliegen ist denn auch, im kantonalen Verfahren als persönlicher Vertreter der Kinder zugelassen zu werden.</w:t>
      </w:r>
    </w:p>
    <w:p>
      <w:r>
        <w:rPr>
          <w:b/>
        </w:rPr>
        <w:t>E. 2</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 Immerhin wird eine Auseinandersetzung mit der Begründung des angefochtenen Entscheides verlangt ( BGE 140 III 115 E. 2 S. 116).</w:t>
      </w:r>
    </w:p>
    <w:p>
      <w:r>
        <w:t>Hingegen legt das Bundesgericht seinem Urteil den von der Vorinstanz festgestellten Sachverhalt zugrunde ( Art. 105 Abs. 1 BGG ). In diesem Bereich kann lediglich eine offensichtlich unrichtige - d.h. willkürliche, in Verletzung von Art. 9 BV ergangene ( BGE 143 I 310 E. 2.2 S. 313) - Sachverhaltsfeststellung gerügt werden, wobei hierfür das strenge Rügeprinzip gilt (Art. 97 Abs. 1 i.V.m. Art. 106 Abs. 2 BGG ). Das bedeutet, dass das Bundesgericht nur klar und detailliert erhobene und belegte Rügen prüft, während es auf ungenügend substanziierte Rügen und rein appellatorische Kritik am Sachverhalt nicht eintritt ( BGE 140 III 264 E. 2.3 S. 266).</w:t>
      </w:r>
    </w:p>
    <w:p>
      <w:r>
        <w:rPr>
          <w:b/>
        </w:rPr>
        <w:t>E. 3</w:t>
      </w:r>
    </w:p>
    <w:p>
      <w:r>
        <w:t>Weil der Beschwerdeführer nur in eigenem Namen und nicht in demjenigen der Kinder handeln kann (dazu E. 1), sind die Ausführungen gegenstandslos, soweit eine angeblich unrechtmässige Platzierung (welche im Übrigen auch gar nicht Verfahrensgegenstand ist) und eine angebliche Gehörsverletzung der Kinder, namentlich eine nicht erneut durchgeführte Anhörung vor dem Verwaltungsgericht moniert wird.</w:t>
      </w:r>
    </w:p>
    <w:p>
      <w:r>
        <w:t>Aus dem gleichen Grund, insbesondere aber auch, weil diesbezüglich keine substanziierten Willkürrügen erhoben werden, sondern einzig appellatorische Ausführungen erfolgen, können sodann die in der Beschwerde vorgetragenen Sachverhaltsbehauptungen nicht gehört werden (dazu E. 2). Dies betrifft namentlich die Behauptung, die Kinder hätten Angst, dass sie getrennt würden, wenn sie den Anordnungen der KESB und der Kinderanwältin nicht folgen würden, weshalb sie unter Druck stünden und alles wie verlangt machen, namentlich sich vom Beschwerdeführer bzw. von der Ombudsstelle abwenden würden.</w:t>
      </w:r>
    </w:p>
    <w:p>
      <w:r>
        <w:rPr>
          <w:b/>
        </w:rPr>
        <w:t>E. 4</w:t>
      </w:r>
    </w:p>
    <w:p>
      <w:r>
        <w:t>Als zulässiger Beschwerdegegenstand verbleibt die Frage, ob der Beschwerdeführer bei korrekter Rechtsanwendung als Kindesvertreter im Sinn von Art. 314a bis ZGB hätte eingesetzt werden müssen, weil sich die Kinder ursprünglich an ihn gewandt bzw. eine Vollmacht unterzeichnet hatten.</w:t>
      </w:r>
    </w:p>
    <w:p>
      <w:r>
        <w:t>Entgegen den Ausführungen in der Beschwerde hat das Verwaltungsgericht in diesem Zusammenhang weder die Offizial- noch die Untersuchungsmaxime verletzt; es hat die entsprechende Frage ausführlich geprüft und behandelt. Angesichts der klaren Meinungsäusserung der Kinder ging das Verwaltungsgericht davon aus, dass der Beschwerdeführer über keine hinreichende Vertretungsvollmacht verfügt; es trat deshalb auf die Beschwerde nicht ein. Ferner hielt es im Sinn einer Eventualerwägung fest, dass die beiden Kinder massgeblich von G.________ (welcher im Übrigen ein Mädchen aus der gleichen Anstalt mit Geld bestochen habe, um an C.________ und D.________ heranzukommen) beeinflusst und angehalten worden seien, den Beschwerdeführer als Kindesvertreter bzw. als Vertrauensperson zu bezeichnen, dass G.________ eigene Interessen verfolge, indem er C.________ und D.________ als Pflegekinder bei sich aufnehmen möchte, dass ein möglicher Interessenkonflikt aber auch beim Beschwerdeführer bestehe, welcher einzig mit G.________ und nie mit der Mutter Kontakt gehabt habe; allein schon die Möglichkeit eines Interessenkonfliktes würde es ausschliessen, ihn als Vertretungsbeistand im Sinn von Art. 314a bis ZGB zu ernennen.</w:t>
      </w:r>
    </w:p>
    <w:p>
      <w:r>
        <w:t>Der Beschwerdeführer beruft sich darauf, dass er am 30. Januar 2018 um 22:29 Uhr den Leiter der KESB per E-Mail darüber orientiert habe, wonach er der rechtmässige Vertreter der Kinder sei, und der KESB-Leiter die E-Mail am 31. Januar 2018 um 09:56 Uhr an das zuständige Behördenmitglied weitergeleitet habe, was zeitlich vor der Kontaktaufnahme dieses Behördenmitgliedes mit Rechtsanwältin K.________ gewesen sei. Er folgert daraus, dass es nicht um die Frage gehe, ob er an Stelle von Rechtsanwältin K.________ als Kindesvertreter einzusetzen sei, sondern ob er als von den Kindern rechtmässig eingesetzter Vertreter von der KESB abgesetzt werden dürfe.</w:t>
      </w:r>
    </w:p>
    <w:p>
      <w:r>
        <w:t>Bei seiner Argumentation übersieht der Beschwerdeführer, dass nicht das betroffene Kind den Vertreter einsetzt, sondern nach dem klaren Wortlaut von Art. 314a bis ZGB die KESB dem Kind eine Vertretung bestellt. Weil eine allfällige "Vollmachtserteilung" durch das zu vertretende Kind folglich keine rechtliche Relevanz aufweist, bleibt ohne Belang, zu welchem Zeitpunkt eine solche erfolgt und wann sie der KESB zur Kenntnis gebracht worden ist.</w:t>
      </w:r>
    </w:p>
    <w:p>
      <w:r>
        <w:t>Was die Einsetzung des Beschwerdeführers als Kindesvertreter anbelangt, hat das Verwaltungsgericht ausführlich dargelegt, wieso dies nicht zur Debatte stehen kann und konnte. Mit den betreffenden Erwägungen setzt sich der Beschwerdeführer entgegen der Begründungspflicht von Art. 42 Abs. 2 BGG (dazu E. 2) nicht auseinander. Namentlich äussert er sich nicht zum Interessenkonflikt, der es laut der Vorinstanz ausschliesst, den Beschwerdeführer als Kindesvertreter einzusetzen.</w:t>
      </w:r>
    </w:p>
    <w:p>
      <w:r>
        <w:t>Abschliessend ist darauf hinzuweisen, dass es vorliegend nur um die Frage der auf Art. 314a bis ZGB gestützten Einsetzung eines Kindesvertreters durch die KESB und nicht um eine allfällige private Mandatierung eines Rechtsanwaltes durch die Kinder geht. Letzteres wurde vom Beschwerdeführer nicht geltend gemacht, weshalb sich Weiterungen in diesem Kontext erübrigen (Möglichkeit eines Kindes, selbständig einen Vertreter zu bestimmen; Frage der autonomen Willensbildung der Kinder im vorliegenden Fall; Bestimmung des genauen Zeitpunktes, ab welchem die Kinder erwiesenermassen nichts mehr mit dem Beschwerdeführer zu tun haben wollten).</w:t>
      </w:r>
    </w:p>
    <w:p>
      <w:r>
        <w:rPr>
          <w:b/>
        </w:rPr>
        <w:t>E. 5</w:t>
      </w:r>
    </w:p>
    <w:p>
      <w:r>
        <w:t>Zusammenfassend ergibt sich, dass die Beschwerde abzuweisen ist, soweit darauf eingetreten werden kann.</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