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91/2021 vom 10. November 2021</w:t>
      </w:r>
    </w:p>
    <w:p>
      <w:r>
        <w:t>Bundesgericht, 2021-11-10, FR</w:t>
      </w:r>
    </w:p>
    <w:p>
      <w:r>
        <w:rPr>
          <w:b/>
        </w:rPr>
        <w:t xml:space="preserve">Quelle: </w:t>
      </w:r>
      <w:r>
        <w:t>https://mcp.opencaselaw.ch/entscheid/bger_5A_91_2021</w:t>
      </w:r>
    </w:p>
    <w:p>
      <w:r>
        <w:t>FR: TF 5A 91/2021 du 10 novembre 2021</w:t>
      </w:r>
    </w:p>
    <w:p>
      <w:r>
        <w:t>IT: TF 5A 91/2021 del 10 novembre 2021</w:t>
      </w:r>
    </w:p>
    <w:p>
      <w:pPr>
        <w:pStyle w:val="Heading2"/>
      </w:pPr>
      <w:r>
        <w:t>Regeste</w:t>
      </w:r>
    </w:p>
    <w:p>
      <w:r>
        <w:t>divorce (liquidation du régime matrimonial) | Droit de la famille</w:t>
      </w:r>
    </w:p>
    <w:p>
      <w:pPr>
        <w:pStyle w:val="Heading2"/>
      </w:pPr>
      <w:r>
        <w:t>Erwägungen</w:t>
      </w:r>
    </w:p>
    <w:p>
      <w:r>
        <w:rPr>
          <w:b/>
        </w:rPr>
        <w:t>E. 1</w:t>
      </w:r>
    </w:p>
    <w:p>
      <w:r>
        <w:t>Le recours a été déposé en temps utile (art. 100 al. 1 et 46 al. 1 let. c LTF) et dans la forme légale ( art. 42 al. 1 LTF ), contre une décision finale ( art. 90 LTF ) rendue sur recours par une autorité supérieure statuant en dernière instance cantonale ( art. 75 al. 1 LTF ), dans une affaire civile ( art. 72 al. 1 LTF ) de nature pécuniaire, dont la valeur litigieuse atteint le seuil de 30'000 fr. (art. 51 al. 1 let. a et 74 al. 1 let. b LTF). Le recourant, qui a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143 V 19 consid. 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 145 IV 154 consid. 1.1).</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(cf. ATF 147 III 176 consid. 4.2.1; 142 III 413 consid. 2.2.4), le principe de l'épuisement matériel des instances cantonales veut que les moyens soumis au Tribunal fédéral aient déjà été invoqués devant l'instance précédente (arrêts 5A_517/2020 du 4 octobre 2021 consid. 2.3; 4A_69/2021 du 21 septembre 2021 consid. 5.1.2; 5A_345/2021 du 14 septembre 2021 consid. 3.3.5 et la référence; 5A_302/2020 du 12 juillet 2021 consid. 2.4), étant précisé que ce principe s'applique tant lorsqu'une partie était partie recourante dans la procédure cantonale que lorsqu'elle était partie intimée (arrêts 5A_679/2019 du 5 juillet 2021 consid. 3.5; 5A_871/2020 du 15 février 2021 consid. 4; 5A_694/2019 du 24 février 2020 consid. 4.3 et les références).</w:t>
      </w:r>
    </w:p>
    <w:p>
      <w:r>
        <w:rPr>
          <w:b/>
        </w:rPr>
        <w:t>E. 3</w:t>
      </w:r>
    </w:p>
    <w:p>
      <w:r>
        <w:t>ème pilier A n° fff: 43'395 fr. 40 Revenus de C.________ SA: 313'985 fr. 01 Intérêts hypothécaires: 1'076 fr. 15 Frais de copropriété: 1'798 fr. 60 Dettes d'impôts 2016: 23'167 fr. 25 Dettes auprès de C.________ SA: 62'697 fr. 80 Total: 396'291 fr. 23 Total: 88'739 fr. 80 Bénéfice: 307'551 fr. 43 Quant à l'épouse, le bénéfice de son compte d'acquêts avait été confirmé à hauteur de 27'789 fr. 97. Partant, la créance de celle-ci dans le cadre de la liquidation du régime matrimonial s'élevait à 139'880 fr. 70 [ (307'551 fr. 43 / 2) - (27'789 fr. 97 / 2)].</w:t>
      </w:r>
    </w:p>
    <w:p>
      <w:r>
        <w:rPr>
          <w:b/>
        </w:rPr>
        <w:t>E. 3.1</w:t>
      </w:r>
    </w:p>
    <w:p>
      <w:r>
        <w:t>La cour cantonale a confirmé l'opinion des premiers juges selon laquelle, sur le principe, le bénéfice de la société C.________ SA - qui figurait dans les biens propres du recourant dès lors qu'elle lui avait été cédée par son père en 2006 à titre d'avancement d'hoirie - constituait les revenus de ce bien propre. Elle a en outre souligné qu'en tant que seul actionnaire et administrateur unique, le recourant décidait unilatéralement de l'affectation des bénéfices de son entreprise, certes dans les limites légales et statutaires. Si celui-ci ne disposait d'aucune créance en dividendes, c'était parce qu'il avait décidé de laisser tous les bénéfices distribuables dans sa société anonyme. Les juges cantonaux en ont conclu que le grief que l'époux entendait tirer de la violation de l' art. 197 al. 2 ch. 4 CC devait être écarté. L'application de cette disposition permettait également de rejeter la contestation de celui-ci relative à l'application de l' art. 208 CC , dès lors qu'il n'était pas nécessaire en l'espèce de faire application de la théorie de la transparence ( Durchgriffprinzip ) pour prendre en considération les revenus de C.________ SA. La cour cantonale a ensuite retenu que la production des comptabilités 2015 à 2017 de la société C.________ SA permettait de déterminer quels étaient les bénéfices accumulés par le bien propre du mari durant l'union conjugale, " le défaut d'allégation relevé n'étant pas avéré puisque tel a[vait] été le cas dans la détermination du 18 juillet 2018 ". Comme pour des revenus constitués d'intérêts sur une somme d'argent, il convenait de prendre en compte ceux réalisés durant le mariage et existant au moment de la dissolution du régime ( art. 204 al. 2 CC ). Partant, c'était à juste titre que l'épouse requerrait la prise en considération du bénéfice reporté de la société. Restait à déterminer si ledit bénéfice pouvait tomber dans les acquêts, à savoir s'il ne servait pas au maintien ou au renouvellement des valeurs patrimoniales nécessaires à l'exploitation, qui vieillissent et s'usent. A ce sujet, le mari avait allégué, le 17 septembre 2018, que des investissements conséquents avaient été effectués en 2017 et qu'au 31 décembre 2017, les liquidités étaient négatives. La contestation y relative de l'épouse déposée le 24 janvier 2019 paraissait tardive, car intervenue bien après le " délai jurisprudentiel maximal de 20 jours pour répliquer spontanément ". Néanmoins, elle avait auparavant formellement allégué le montant à retenir correspondant au bénéfice reporté au 31 décembre 2016; de son côté, l'époux l'avait également formellement contesté, de sorte qu'aucune lacune au principe d'allégation ne pouvait être opposée à l'une ou l'autre partie. Dans son appel du 30 septembre 2019, l'épouse ne motivait pas la raison pour laquelle les premiers juges auraient eu tort de déduire la réserve légale du montant du bénéfice net. Au contraire, la déduction de cette réserve correspondait parfaitement à la jurisprudence du Tribunal fédéral qui tendait à conserver dans la société les parts de bénéfices servant au maintien de celle-ci. En tenant compte du bénéfice reporté au 31 décembre 2016, il convenait ainsi de déduire la réserve légale reportée de 20'000 fr. Il pouvait de ce fait être constaté que, malgré les investissements intervenus en 2017, soit potentiellement après la date de dissolution du régime le 18 mai 2017, faute d'allégations contraires y relatives, la société n'avait pas subi de pertes en 2017, le bénéfice ayant même augmenté. Par ailleurs, en retenant que le revenu de ce bien propre était constitué du bénéfice net reporté au 31 décembre 2016 sous déduction de la réserve légale, le maintien de la société et son renouvellement restaient parfaitement assurés par la provision prévue en 2015 pour investissements futurs (150'000 fr. en déduction du résultat d'exploitation) ainsi que par les amortissements et autres actifs circulants. Au vu de ces éléments, le revenu de C.________ SA à porter au compte d'acquêts de l'époux devait être arrêté à 313'985 fr. 01 (333'985 fr. 01 [bénéfice reporté] - 20'000 fr. [réserve légale]). Le grief de l'épouse était ainsi partiellement fondé. Le compte d'acquêts de l'époux se présentait dès lors comme suit: Actifs Passifs Compte privé n° aaa: 982 fr. 99 Compte épargne n° bbb: 4'414 fr. 63 Compte épargne n° ccc: 4'927 fr. 80 Compte épargne salaire n° ddd: 1'189 fr. 85</w:t>
      </w:r>
    </w:p>
    <w:p>
      <w:r>
        <w:rPr>
          <w:b/>
        </w:rPr>
        <w:t>E. 3.2</w:t>
      </w:r>
    </w:p>
    <w:p>
      <w:r>
        <w:t>Aux termes d'arguments qui se recoupent largement, le recourant se plaint à la fois d'un établissement manifestement inexact des faits et de violation de l' art. 197 al. 2 ch. 4 CC . En substance, il fait grief aux juges cantonaux d'avoir qualifié d'acquêts les bénéfices reportés depuis la création de la société C.________ SA et de les avoir ainsi fait entrer dans le patrimoine à partager dans la liquidation du régime matrimonial. Il fait valoir que seule la distribution de dividendes, inexistante en l'espèce, pourrait donner lieu à un revenu rattaché aux acquêts. Tous les auteurs faisaient une distinction " plus ou moins explicite " entre sociétés de personnes et sociétés de capitaux. Pour les premières, le bénéfice était bel et bien un revenu des biens propres et tombait dans les acquêts, mais pour les secondes, seuls les dividendes pouvaient tomber sous le coup de l' art. 197 al. 2 ch. 4 CC . Partant, faute de dividende perçu, voire percevable, l'autorité cantonale avait fait une application erronée de cette disposition. Le recourant reproche en outre à la cour cantonale d'avoir violé le fardeau de l'allégation et de la preuve. Selon lui, il incombait en effet à l'intimée d'alléguer et de prouver qu'un prétendu dividende aurait été distribué à l'actionnaire et qu'il se trouvait encore dans le patrimoine de celui-ci au jour de la dissolution du régime matrimonial, ce qu'elle n'avait pas fait. Elle n'avait pas non plus allégué ni prouvé que les statuts de la société permettaient une distribution de dividendes. La cour cantonale ne pouvait suppléer au défaut d'allégation de l'intimée et retenir, sans fondement aucun, que le résultat commercial de l'entreprise était " automatiquement " entré dans le patrimoine de l'époux, soit en l'occurrence dans la masse de ses acquêts. Le recourant souligne encore que la solution des juges cantonaux paraît d'autant plus erronée lorsque l'époux concerné est un actionnaire minoritaire ou " ultra minoritaire ". En effet, à suivre l'arrêt querellé, son compte d'acquêts devrait être crédité de la part proportionnelle à son action du bénéfice reporté de la société, alors que cette valeur n'est jamais entrée dans son patrimoine et qu'il ne dispose d'aucune créance en paiement contre la société. Enfin, le recourant fait grief à la cour cantonale d'avoir négligé les différences des systèmes d'imposition des sociétés de personnes et de capitaux et d'avoir omis de tenir compte des impôts que tout actionnaire doit payer sur les dividendes pour que cette somme entre réellement dans son patrimoine privé, violant ainsi le principe de l'égalité de traitement. De manière choquante, l'arrêt attaqué mettait ainsi à sa charge exclusive l'impôt induit par le transfert comptable du bénéfice reporté du patrimoine de l'entreprise vers son patrimoine privé (compte d'acquêts). En définitive, le recourant soutient que les bénéfices reportés de la société C.________ SA n'auraient pas dû être portés à son compte d'acquêts. Les actifs de ce compte s'élèveraient ainsi à un montant de 82'306 fr. 22 (396'291 fr. 23 - 313'985 fr. 01), de sorte que ses acquêts présenteraient un déficit de 6'433 fr. 58 (82'306 fr. 22 - 88'739 fr. 80), contrairement au compte d'acquêts de l'intimée, qui présentait un bénéfice de 27'789 fr. 97 à partager à concurrence de la moitié, soit 13'894 fr. 98, somme toutefois ramenée à 11'757 fr. 65 compte tenu des conclusions prises en première instance.</w:t>
      </w:r>
    </w:p>
    <w:p>
      <w:r>
        <w:rPr>
          <w:b/>
        </w:rPr>
        <w:t>E. 4</w:t>
      </w:r>
    </w:p>
    <w:p>
      <w:r>
        <w:t>La question qui se pose est de savoir si c'est à bon droit que la cour cantonale a attribué le montant des bénéfices reportés de la société C.________ SA à l'actif des acquêts de l'époux au motif qu'il s'agissait de revenus d'un bien propre de celui-ci.</w:t>
      </w:r>
    </w:p>
    <w:p>
      <w:r>
        <w:rPr>
          <w:b/>
        </w:rPr>
        <w:t>E. 4.1.1</w:t>
      </w:r>
    </w:p>
    <w:p>
      <w:r>
        <w:t>Conformément à l' art. 197 al. 2 ch. 4 CC , les revenus des biens propres constituent des acquêts, dans la mesure où ils ont été acquis durant le régime (STEINAUER, in Commentaire romand, CC I, 2010, n° 17 ad art. 197 CC ). La règle vise aussi bien les fruits civils (intérêts, loyers, dividendes, etc.) que les fruits naturels au sens de l' art. 643 CC (STEINAUER, op. cit., n° 15 ad art. 197 CC ; HAUSHEER/AEBI-MÜLLER, in Basler Kommentar, ZGB I, 6ème éd., 2018, n° 28 ss ad art. 197 CC ). Les revenus visés par l' art. 197 al. 2 ch. 4 CC sont en principe des revenus bruts (HAUSHEER/AEBI-MÜLLER, op. cit., n° 32 ad art. 197 CC ; DESCHENAUX/STEINAUER/BADDELEY, Les effets du mariage, 3ème éd. 2017, n° 1044 p. 632). Néanmoins, lorsque les biens visés sont sujets à dépréciation, il s'agit généralement d'exclure des acquêts une partie des rendements à titre d'amortissement ( ATF 138 III 193 consid. 5.2; STEINAUER, op. cit., n° 16 ad art. 197 CC ; HAUSHEER/AEBI-MÜLLER, op. cit., n° 33 ad art. 197 CC ; DESCHENAUX/STEINAUER/BADDELEY, op. cit., n° 1044 p. 632 s.). S'agissant plus particulièrement d'une entreprise figurant dans les biens propres, les revenus déterminants s'entendent déduction faite des frais généraux (y compris la rémunération éventuelle de l'époux qui dirigerait l'entreprise) et des amortissements usuels en matière commerciale (DESCHENAUX/STEINAUER/BADDELEY, op. cit., n° 1045e p. 635).</w:t>
      </w:r>
    </w:p>
    <w:p>
      <w:r>
        <w:rPr>
          <w:b/>
        </w:rPr>
        <w:t>E. 4.1.2</w:t>
      </w:r>
    </w:p>
    <w:p>
      <w:r>
        <w:t>Il est admis que les bénéfices reportés (" zurückbehaltene Gewinne ") d'une société anonyme faisant partie des biens propres d'un époux constituent un investissement des acquêts susceptible de donner lieu à récompense au sens de l' art. 209 al. 3 CC (cf. arrêt 5A_391/2020 du 2 décembre 2020 consid. 5.1 et 5.3, publiés in FamPra.ch 2021 p. 400; AEBI-MÜLLER/TRACHSEL, Arbeitskreis 9: Grundfragen der güterrechtlichen Auseinandersetzung, in Schwenzer/Büchler (éd.), Dritte Schweizer Familienrecht§Tage 23./24. Februar 2006 in Basel, 2006, p. 223 ss [229 s.]). L'application de l' art. 197 al. 2 ch. 4 CC aux bénéfices reportés ne vaut toutefois pas si ceux-ci sont notamment affectés à la constitution de réserves destinées à assurer durablement la prospérité de l'entreprise ( art. 674 al. 2 ch. 2 CO ; cf. arrêt 5A_391/2020 précité loc. cit.). En d'autres termes, pour considérer le bénéfice reporté comme un revenu des biens propres, on doit être en présence d'un bénéfice distribuable retenu et thésaurisé, soit d'actifs non nécessaires à l'exploitation de la société (cf. MEIER-MAZZUCATO, Évaluation d'une entreprise dans le cadre du régime matrimonial: Variations de valeur dans le cadre de la participation aux acquêts, in TREX-L'expert fiduciaire 2020 p. 47 ss [50]). La partie qui invoque l'existence de bénéfices reportés justifiant une récompense selon l' art. 209 al. 3 CC supporte le fardeau de la preuve ( art. 8 CC ; ATF 131 III 559 consid. 4.3; arrêt 5A_391/2020 précité consid. 5.1 et 5.3; AEBI-MÜLLER/TRACHSEL, op. cit., p. 230).</w:t>
      </w:r>
    </w:p>
    <w:p>
      <w:r>
        <w:rPr>
          <w:b/>
        </w:rPr>
        <w:t>E. 4.2</w:t>
      </w:r>
    </w:p>
    <w:p>
      <w:r>
        <w:t>Contrairement à ce que soutient le recourant, il n'est pas nécessaire que le bénéfice de la société anonyme soit effectivement distribué sous forme de dividendes pour tomber sous le coup de l' art. 197 al. 2 ch. 4 CC . La question de savoir si les principes susmentionnés (cf. supra consid. 4.1.2) s'appliquent également lorsque l'époux concerné est actionnaire minoritaire ou " ultra minoritaire " de la société souffre par ailleurs de demeurer indécise, puisqu'il est établi ( art. 105 al. 1 LTF ; cf. supra consid. 2.2) qu'en l'espèce, le recourant est actionnaire unique de C.________ SA. Il ressort des constatations de l'arrêt attaqué que l'intimée a allégué et prouvé, par le biais de la comptabilité de la société dont elle a requis la production pour les années 2015 à 2017, l'existence et le montant déterminant des bénéfices reportés de la société du recourant, dont la cour cantonale a retenu le caractère distribuable. Les juges précédents ont par ailleurs écarté l'argument - contesté par l'épouse - que le mari entendait tirer des investissements conséquents effectués en 2017, constatant notamment que, même en traitant le bénéfice reporté au 31 décembre 2016 (sous déduction de la réserve légale) comme un revenu des biens propres, le maintien de la société et son renouvellement restaient parfaitement assurés par la provision prévue en 2015 pour investissements futurs (150'000 fr. en déduction du résultat d'exploitation) ainsi que par les amortissements et autres actifs circulants. Dès lors qu'il résulte de ce qui précède que les juges cantonaux étaient convaincus de l'existence de bénéfices reportés non nécessaires à assurer la pérennité de la société, au terme d'une appréciation des preuves, la question de la répartition du fardeau de la preuve est dénuée de pertinence et le grief que le recourant soulève à cet égard tombe à faux (cf. ATF 141 III 241 consid. 3.2; 130 III 591 consid. 5.4; 128 III 22 consid. 2d et les références). Il appartenait en revanche à celui-ci d'établir que la cour cantonale avait considéré à tort que les bénéfices reportés avaient été retenus et thésaurisés en démontrant le caractère arbitraire de la constatation selon laquelle ils n'étaient pas nécessaires au maintien et au renouvellement de la société, ce qu'il n'a pas fait. Pour le reste, le grief tiré de l'absence de prise en compte par les juges cantonaux des impôts sur les dividendes - qui a en réalité trait au montant qu'il conviendrait de prendre en considération dans la liquidation du régime matrimonial et non à la qualification des biens litigieux - est irrecevable, faute d'épuisement matériel des instances (cf. supra consid. 2.3). Il en va de même de la critique du recourant relative au montant des bénéfices reportés existant au jour de la cession de l'entreprise en sa faveur, que la cour cantonale aurait " complètement passé sous silence ". Il suit de là que la critique est infondée dans la mesure de sa recevabilité.</w:t>
      </w:r>
    </w:p>
    <w:p>
      <w:r>
        <w:rPr>
          <w:b/>
        </w:rPr>
        <w:t>E. 5</w:t>
      </w:r>
    </w:p>
    <w:p>
      <w:r>
        <w:t>Vu l'issue de la cause, il n'y a pas lieu de revoir la répartition des frais et dépens opérée par les juges cantonaux, le grief de violation de l' art. 106 al. 1 CPC soulevé par le recourant étant fondé sur la prémisse erronée qu'il devait obtenir gain de cause.</w:t>
      </w:r>
    </w:p>
    <w:p>
      <w:r>
        <w:rPr>
          <w:b/>
        </w:rPr>
        <w:t>E. 6</w:t>
      </w:r>
    </w:p>
    <w:p>
      <w:r>
        <w:t>En définitive, le recours est rejeté dans la mesure de sa recevabilité. Les frais de la présente procédure seront donc mis à la charge du recourant ( art. 66 al. 1 LTF ), qui versera en outre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