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918/2022 vom 5. Dezember 2022</w:t>
      </w:r>
    </w:p>
    <w:p>
      <w:r>
        <w:t>Bundesgericht, 2022-12-05, DE</w:t>
      </w:r>
    </w:p>
    <w:p>
      <w:r>
        <w:rPr>
          <w:b/>
        </w:rPr>
        <w:t xml:space="preserve">Quelle: </w:t>
      </w:r>
      <w:r>
        <w:t>https://mcp.opencaselaw.ch/entscheid/bger_5A_918_2022</w:t>
      </w:r>
    </w:p>
    <w:p>
      <w:r>
        <w:t>FR: TF 5A 918/2022 du 5 décembre 2022</w:t>
      </w:r>
    </w:p>
    <w:p>
      <w:r>
        <w:t>IT: TF 5A 918/2022 del 5 dicembre 2022</w:t>
      </w:r>
    </w:p>
    <w:p>
      <w:pPr>
        <w:pStyle w:val="Heading2"/>
      </w:pPr>
      <w:r>
        <w:t>Regeste</w:t>
      </w:r>
    </w:p>
    <w:p>
      <w:r>
        <w:t>Entziehung des Rechts auf persönlichen Verkehr etc. | Familienrecht</w:t>
      </w:r>
    </w:p>
    <w:p>
      <w:pPr>
        <w:pStyle w:val="Heading2"/>
      </w:pPr>
      <w:r>
        <w:t>Erwägungen</w:t>
      </w:r>
    </w:p>
    <w:p>
      <w:r>
        <w:rPr>
          <w:b/>
        </w:rPr>
        <w:t>E. 1</w:t>
      </w:r>
    </w:p>
    <w:p>
      <w:r>
        <w:t>A.________ (Beschwerdeführer) und B.________ sind die getrennt lebenden Eltern von C.________ (geb. 2011). Mit Beschluss vom 17. August 2022 entzog die KESB Ausserschwyz dem Beschwerdeführer das Recht auf den persönlichen Verkehr mit seiner Tochter und sistierte das Besuchsrecht bis auf Widerruf. Zudem stimmte die KESB der Erneuerung des Schweizer Passes von C.________ zu, ermächtigte den Beistand, die Unterschrift für die Erneuerung anstelle des Kindsvaters zu leisten, und passte die Aufgaben die Beistandes den neuen Begebenheiten an. Dagegen erhob der Beschwerdeführer am 9. September 2022 Beschwerde beim Verwaltungsgericht des Kantons Schwyz. Mit Entscheid vom 26. Oktober 2022 wies das Verwaltungsgericht die Beschwerde ab, soweit es darauf eintrat. Dagegen hat der Beschwerdeführer am 30. November 2022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Der grösste Teil der Beschwerde besteht aus Behauptungen und Forderungen aus dem Umfeld der Reichsbürger- und ähnlicher Bewegungen (angebliche Umwandlung staatlicher Institutionen in Kapitalgesellschaften und daraus abgeleitete fehlende Legitimation derselben; Aufforderung zum Nachweis hoheitlicher Handlungsbefugnisse; Ankündigung von Pönalen und Aufstellung von Vertragsbedingungen). Auf all dies ist nicht einzugehen. Im Übrigen schildert der Beschwerdeführer seine Sicht auf den Sachverhalt. Eine genügende Sachverhaltsrüge ( Art. 97 Abs. 1 BGG ) fehlt ebenso wie eine Darlegung, inwiefern das Verwaltungsgericht Recht verletzt haben soll. Die Beschwerde enthält damit offensichtlich keine hinreichende Begründung und sie ist teilweise querulatorisch. Auf sie ist im vereinfachten Verfahren durch den Abteilungspräsidenten nicht einzutreten ( Art. 108 Abs. 1 lit. b und c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