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5A_917/2021 vom 19. Januar 2022</w:t>
      </w:r>
    </w:p>
    <w:p>
      <w:r>
        <w:t>Bundesgericht, 2022-01-19, FR</w:t>
      </w:r>
    </w:p>
    <w:p>
      <w:r>
        <w:rPr>
          <w:b/>
        </w:rPr>
        <w:t xml:space="preserve">Quelle: </w:t>
      </w:r>
      <w:r>
        <w:t>https://mcp.opencaselaw.ch/entscheid/bger_5A_917_2021</w:t>
      </w:r>
    </w:p>
    <w:p>
      <w:r>
        <w:t>FR: TF 5A_917/2021 du 19 janvier 2022</w:t>
      </w:r>
    </w:p>
    <w:p>
      <w:r>
        <w:t>IT: TF 5A_917/2021 del 19 gennaio 2022</w:t>
      </w:r>
    </w:p>
    <w:p>
      <w:pPr>
        <w:pStyle w:val="Heading2"/>
      </w:pPr>
      <w:r>
        <w:t>Erwägungen</w:t>
      </w:r>
    </w:p>
    <w:p>
      <w:r>
        <w:rPr>
          <w:b/>
        </w:rPr>
        <w:t>E. 1</w:t>
      </w:r>
    </w:p>
    <w:p>
      <w:r>
        <w:t>Le recours a été déposé à temps ( art. 100 al. 1 LTF ) contre une décision finale ( art. 90 LTF ; ATF 133 III 687 consid. 1.2) qui confirme, en dernière instance cantonale et sur recours ( art. 75 al. 1 et 2 LTF ), la faillite du recourant ( art. 72 al. 2 let. a LTF ). Il est ouvert quelle que soit la valeur litigieuse ( art. 74 al. 2 let . d LTF). Le recourant, qui a pris part à la procédure devant la juridiction précédente et a un intérêt digne de protection à l'annulation ou la modification de la décision attaquée,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III 364 consid. 2.4 et la référence; 142 I 99 consid. 1.7.1).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w:t>
      </w:r>
    </w:p>
    <w:p>
      <w:r>
        <w:t>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rPr>
          <w:b/>
        </w:rPr>
        <w:t>E. 3</w:t>
      </w:r>
    </w:p>
    <w:p>
      <w:r>
        <w:t>Invoquant une constatation manifestement inexacte des faits, la violation de son droit d'être entendu ainsi qu'un déni de justice, le recourant reproche à l'autorité cantonale de ne pas avoir retenu que la poursuite engagée à son encontre était absolument nulle vu l'absence de notification du commandement de payer. Il rappelle que du 4 janvier au 3 octobre 2020, il était en détention en France, comme la pièce 4 déposée à l'appui de son recours cantonal le démontrait. L'autorité cantonale avait négligé de relever la mention " non réclamé " sous la rubrique " non notifiable " du commandement de payer et omis de rapprocher cet élément de la preuve de sa détention. Si elle l'avait fait, elle aurait dû conclure à une absence totale de notification du commandement de payer. L'autre hypothèse figurant sur le commandement de payer, à savoir une notification le 3 juin 2020 [recte: 13 mai 2020], était aussi impossible du fait de sa détention.</w:t>
      </w:r>
    </w:p>
    <w:p>
      <w:r>
        <w:t>En l'occurrence, on ne saurait reprocher un quelconque déni de justice à l'autorité cantonale dans la mesure où elle a traité du grief tiré de la nullité de la poursuite soulevé devant elle et a indiqué clairement les raisons qui ont conduit à son rejet. Par ailleurs, le grief de violation du droit d'être entendu que le recourant invoque pour se plaindre du fait qu'il n'a pas été donné suite à ses offres de preuve manque sa cible, dès lors qu'il apparaît que l'autorité cantonale a refusé d'ordonner les mesures probatoires requises au terme d'une appréciation anticipée des preuves. Or, dans une telle hypothèse, il convient d'invoquer l'arbitraire ( art. 9 Cst. ) dans l'appréciation des preuves, en motivant le grief conformément aux exigences plus strictes de l' art. 106 al. 2 LTF ( ATF 146 III 73 consid. 5.2.2; 138 III 374 consid. 4.3.2), ce que le recourant n'a en l'occurrence pas fait.</w:t>
      </w:r>
    </w:p>
    <w:p>
      <w:r>
        <w:rPr>
          <w:b/>
        </w:rPr>
        <w:t>E. 3.1</w:t>
      </w:r>
    </w:p>
    <w:p>
      <w:r>
        <w:t>Le juge de la faillite peut rejeter la réquisition s'il existe un motif</w:t>
      </w:r>
    </w:p>
    <w:p>
      <w:r>
        <w:t>manifeste de nullité au sens de l' art. 22 LP qui puisse être établi</w:t>
      </w:r>
    </w:p>
    <w:p>
      <w:r>
        <w:t>prima facie ( ATF 135 III 14 consid. 5.4 i.f.; PIERRE-YVES BOSSHARD, Le recours contre le jugement de faillite, in JdT 2010 II 113 ss, p. 121 et les références; ROGER GIROUD/FABIANA THEUS SIMONI, in Basler Kommentar, SchKG I, 3ème éd. 2021, n° 6a ad art. 173 LP et les références). Si le motif de nullité n'est pas d'emblée évident, le juge de la faillite ajournera sa décision sur la réquisition de faillite et soumettra le cas à l'autorité de surveillance ( art. 173 al. 2 LP ; GIROUD/THEUS SIMONI, op. cit., n° 6 ad art. 173 LP et les références).</w:t>
      </w:r>
    </w:p>
    <w:p>
      <w:r>
        <w:rPr>
          <w:b/>
        </w:rPr>
        <w:t>E. 3.2</w:t>
      </w:r>
    </w:p>
    <w:p>
      <w:r>
        <w:t>En l'espèce, c'est à bon droit que l'autorité cantonale n'a pas constaté l'existence d'un cas de nullité de la poursuite qui, manifeste, aurait pu conduire au rejet de la requête de faillite ou, en cas de doute, à l'ajournement du prononcé de faillite jusqu'à droit jugé par l'autorité de surveillance. En effet, comme la décision attaquée le rappelle fort justement, lorsque l'acte de poursuite qui doit être notifié parvient au poursuivi ou que celui-ci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(PIERRE-ROBERT GILLIÉRON, Commentaire de la loi fédérale sur la poursuite pour dettes et la faillite, 1999, n° 28 des remarques introductives aux art. 64-66 LP ; YVAN JEANNERET/SAVERIO LEMBO, Commentaire romand, Poursuite et faillite, 2005, n° s 34 et 35 ad art. 64 LP et les références). Or l'autorité cantonale a constaté - sans que ce constat soit remis en cause - que le recourant a eu une connaissance effective et exacte du commandement de payer établi dans la poursuite litigieuse lorsqu'il a reçu le 26 avril 2021 la commination de faillite, laquelle énonçait les indications prescrites pour la réquisition de poursuite, à savoir l'identité de la créancière et du poursuivi, le montant de la créance, les titre et date de celle-ci ou cause de l'obligation ( art. 67 al. 1 LP ), soit les indications essentielles du commandement de payer ( art. 69 al. 2 ch. 1 LP ). Comme l'a correctement retenu l'autorité cantonale, le vice éventuel lié à la notification du commandement de payer a donc été couvert par l'inaction du recourant, dès lors qu'aucune plainte LP n'a été formée dans les dix jours dès la connaissance effective du contenu du commandement de payer (cf. ATF 128 III 101 consid. 2), soit dès la réception de la commination de faillite (arrêt 7B.161/2005 du 31 octobre 2005 consid. 2.2; cf. PAUL ANGST/RODRIGO RODRIGUEZ, in Basler Kommentar, SchKG I, 3ème éd. 2021, n° 23 ad art. 64 LP et les références).</w:t>
      </w:r>
    </w:p>
    <w:p>
      <w:r>
        <w:rPr>
          <w:b/>
        </w:rPr>
        <w:t>E. 4</w:t>
      </w:r>
    </w:p>
    <w:p>
      <w:r>
        <w:t>Si tant est qu'il soit même pertinent au vu de ce qui précède, le second moyen que le recourant entend nouvellement tirer d'une violation de l' art. 60 LP se heurte au principe de l'épuisement matériel des instances ( art. 75 al. 1 LTF ; ATF 146 III 203 consid. 3.3.4; 145 III 42 consid. 2.2.2; 143 III 290 consid. 1.1). Il sera, quoi qu'il en soit, rappelé que, contrairement à ce que prétend le recourant, les principes susrappelés (cf.</w:t>
      </w:r>
    </w:p>
    <w:p>
      <w:r>
        <w:t>supra consid. 3.2) sont également applicables en cas de notification non conforme à l' art. 60 LP du commandement de payer à un détenu, de sorte que les actes de poursuite effectués sans respecter cette disposition doivent être considérés seulement comme annulables (arrêt 5A_913/2013 du 19 mars 2014 consid. 4.1; JEAN-DANIEL SCHMID/THOMAS BAUER, in Basler Kommentar, SchKG I, 3ème éd. 2021, n° 10 ad art. 60 LP ).</w:t>
      </w:r>
    </w:p>
    <w:p>
      <w:r>
        <w:rPr>
          <w:b/>
        </w:rPr>
        <w:t>E. 5</w:t>
      </w:r>
    </w:p>
    <w:p>
      <w:r>
        <w:t>En définitive, le recours est rejeté dans la mesure de sa recevabilité, aux frais de son auteur ( art. 66 al. 1 LTF ). L'intimée, qui n'a pas été suivie sur la question de l'effet suspensif, n'a pas été invitée à répondre sur le fond et agit par son service du contentieux, n'a pas droit à des dépens ( art. 68 al. 1 LTF ).</w:t>
      </w:r>
    </w:p>
    <w:p>
      <w:r>
        <w:t>L'octroi de l'effet suspensif ne se rapporte qu'aux mesures d'exécution, ce qui dispense de fixer à nouveau la date de l'ouverture de la faillite (parmi plusieurs: arrêt 5A_260/2021 du 22 juin 2021 consid. 5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