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5A_915/2025 vom 27. Oktober 2025</w:t>
      </w:r>
    </w:p>
    <w:p>
      <w:r>
        <w:t>Bundesgericht, 2025-10-27, DE</w:t>
      </w:r>
    </w:p>
    <w:p>
      <w:r>
        <w:rPr>
          <w:b/>
        </w:rPr>
        <w:t xml:space="preserve">Quelle: </w:t>
      </w:r>
      <w:r>
        <w:t>https://mcp.opencaselaw.ch/entscheid/bger_5A_915_2025</w:t>
      </w:r>
    </w:p>
    <w:p>
      <w:r>
        <w:t>FR: TF 5A_915/2025 du 27 octobre 2025</w:t>
      </w:r>
    </w:p>
    <w:p>
      <w:r>
        <w:t>IT: TF 5A_915/2025 del 27 ottobre 2025</w:t>
      </w:r>
    </w:p>
    <w:p>
      <w:pPr>
        <w:pStyle w:val="Heading2"/>
      </w:pPr>
      <w:r>
        <w:t>Erwägungen</w:t>
      </w:r>
    </w:p>
    <w:p>
      <w:r>
        <w:rPr>
          <w:b/>
        </w:rPr>
        <w:t>E. 1</w:t>
      </w:r>
    </w:p>
    <w:p>
      <w:r>
        <w:t>Am 23. Juni 2025 eröffnete das Regionalgericht Prättigau/Davos auf Gesuch des Beschwerdegegners in der Betreibung Nr. xxx des Betreibungsamtes Prättigau/Davos den Konkurs über die Beschwerdeführerin. Dagegen erhob die Beschwerdeführerin am 3. Juli 2025 Beschwerde beim Obergericht des Kantons Graubünden. Mit Urteil vom 17. Juli 2025 wies das Obergericht die Beschwerde ab. Das begründete Urteil teilte es am 25. September 2025 mit. Dagegen hat die Beschwerdeführerin am 22. Oktober 2025 Beschwerde an das Bundesgericht erhoben.</w:t>
      </w:r>
    </w:p>
    <w:p>
      <w:r>
        <w:rPr>
          <w:b/>
        </w:rPr>
        <w:t>E. 2</w:t>
      </w:r>
    </w:p>
    <w:p>
      <w:r>
        <w:t>Die Beschwerdeführerin hat die Beschwerde auf Deutsch und auf Italienisch eingereicht. Die beiden Versionen sind inhaltlich gleich. Das Urteil des Bundesgerichts ergeht in der Sprache des angefochtenen Entscheids, d.h. auf Deutsch ( Art. 54 Abs. 1 BGG ).</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Die Beschwerdeführerin beruft sich auf neue Tatsachen, die die Aufhebung des Konkurses gemäss Art. 174 SchKG rechtfertigten und die zum Zeitpunkt des angefochtenen Urteils noch nicht vorgelegen seien. Vor Bundesgericht gilt nicht die Novenregelung von Art. 174 SchKG , sondern diejenige von Art. 99 Abs. 1 BGG . Demnach sind neue Tatsachen und Beweismittel vor Bundesgericht grundsätzlich unzulässig. Auf die Vorbringen der Beschwerdeführerin ist nicht einzugehen. Selbst wenn einzelne Elemente nicht neu sein sollten, schildert sie mit ihren Vorbringen einzig den Sachverhalt aus eigener Sicht, ohne eine genügende Sachverhaltsrüge zu erheben ( Art. 97 Abs. 1 BGG ). Die Beschwerdeführerin setzt sich auch nicht damit auseinander, dass sie vor Obergericht keinen der möglichen Aufhebungsgründe gemäss Art. 174 Abs. 2 SchKG angerufen hat. Die Beschwerdeführerin verlangt ein Moratorium (moratoria) von sechs Monaten gemäss Art. 294 SchKG . Sie setzt sich nicht mit den entsprechenden obergerichtlichen Erwägungen auseinander, nämlich, dass sie kein Gesuch um Nachlassstundung gestellt habe, dass ein Stundungsgesuch vor der erstinstanzlichen Konkurseröffnung hätte gestellt werden müssen und dass keine Anhaltspunkte dafür bestünden, dass das Regionalgericht die Konkurseröffnung zu Unrecht nicht ausgesetzt hätte ( Art. 173a Abs. 2 SchKG ). Die Beschwerde ist offensichtlich unzulässig und sie enthält offensichtlich keine hinreichende Begründung. Der Abteilungspräsident tritt auf sie im vereinfachten Verfahren nicht ein ( Art. 108 Abs. 1 lit. a und b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