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913/2017 vom 24. November 2017</w:t>
      </w:r>
    </w:p>
    <w:p>
      <w:r>
        <w:t>Bundesgericht, 2017-11-24, DE</w:t>
      </w:r>
    </w:p>
    <w:p>
      <w:r>
        <w:rPr>
          <w:b/>
        </w:rPr>
        <w:t xml:space="preserve">Quelle: </w:t>
      </w:r>
      <w:r>
        <w:t>https://mcp.opencaselaw.ch/entscheid/bger_5A_913_2017</w:t>
      </w:r>
    </w:p>
    <w:p>
      <w:r>
        <w:t>FR: TF 5A 913/2017 du 24 novembre 2017</w:t>
      </w:r>
    </w:p>
    <w:p>
      <w:r>
        <w:t>IT: TF 5A 913/2017 del 24 novembre 2017</w:t>
      </w:r>
    </w:p>
    <w:p>
      <w:pPr>
        <w:pStyle w:val="Heading2"/>
      </w:pPr>
      <w:r>
        <w:t>Regeste</w:t>
      </w:r>
    </w:p>
    <w:p>
      <w:r>
        <w:t>Fürsorgerische Unterbringung | Familienrecht</w:t>
      </w:r>
    </w:p>
    <w:p>
      <w:pPr>
        <w:pStyle w:val="Heading2"/>
      </w:pPr>
      <w:r>
        <w:t>Erwägungen</w:t>
      </w:r>
    </w:p>
    <w:p>
      <w:r>
        <w:rPr>
          <w:b/>
        </w:rPr>
        <w:t>E. 1</w:t>
      </w:r>
    </w:p>
    <w:p>
      <w:r>
        <w:t>Angefochten ist der kantonal letztinstanzliche Entscheid betreffend fürsorgerische Unterbringung; die Beschwerde in Zivilsachen steht offen (Art. 72 Abs. 2 lit. b Ziff. 6, Art. 75 Abs. 1 und Art. 90 BGG ).</w:t>
      </w:r>
    </w:p>
    <w:p>
      <w:r>
        <w:rPr>
          <w:b/>
        </w:rPr>
        <w:t>E. 2</w:t>
      </w:r>
    </w:p>
    <w:p>
      <w:r>
        <w:t>Soweit die Beschwerdeführerin (ohne weitere Begründung) ein öffentliches Verfahren wünscht, ist auf Art. 57 BGG zu verweisen, wonach das Verfahren vor Bundesgericht grundsätzlich ein schriftliches ist (vgl. Urteil 5A_880/2011 vom 20. Februar 2012 E. 1.5; letztmals Urteil 5A_780/2017 vom 19. Oktober 2017 E. 2); eine öffentliche Verhandlung ist vorliegend nicht angezeigt, weil der Entscheid aufgrund der Akten spruchreif ist und die Beschwerdeführerin sich im erstinstanzlichen Verfahren vor der KESB mündlich äussern konnte (vgl. Anhörung vom 19. Oktober 2017).</w:t>
      </w:r>
    </w:p>
    <w:p>
      <w:r>
        <w:rPr>
          <w:b/>
        </w:rPr>
        <w:t>E. 3</w:t>
      </w:r>
    </w:p>
    <w:p>
      <w:r>
        <w:t>Die Beschwerdeführerin hält weiter fest, sie sei der Meinung, dass das Verfahren nicht als gegenstandslos hätte abgeschrieben werden können, weil ihre Beschwerde nicht abgewiesen worden sei. Gleiches gelte für das Gesuch um unentgeltliche Rechtspflege. Sie beantrage die Übernahme der Verfahrenskosten und wolle Schadenersatz bzw. Genugtuung innerhalb des Verfahrens geltend machen; sie möchte den höchstmöglichen Schadenersatz und Genugtuung.</w:t>
      </w:r>
    </w:p>
    <w:p>
      <w:r>
        <w:rPr>
          <w:b/>
        </w:rPr>
        <w:t>E. 4</w:t>
      </w:r>
    </w:p>
    <w:p>
      <w:r>
        <w:t>Mit der tatsächlichen Entlassung wird ein Entlassungsgesuch, aber auch eine Beschwerde, mit welcher um Entlassung nachgesucht wird, gegenstandslos (vgl. Urteil 5A_733/2016 vom 5. Oktober 2016 E. 2.2). Gleiches gilt für ein Gesuch um unentgeltliche Rechtspflege, wenn keine Verfahrenskosten erhoben werden und keine Parteikosten anfallen (letztmals Urteile 5A_417/2017 vom 25. Oktober 2017 E. 5; 5A_806/2017 vom 6. November 2017 E. 4). Sinngemäss scheint die Beschwerdeführerin geltend machen zu wollen, dass es sich vorliegend insofern anders verhalte, als sie im Beschwerdeverfahren Schadenersatz und Genugtuung hätte geltend machen wollen. Dies ist indes im Beschwerdeverfahren von vornherein nicht möglich; vielmehr wäre hierfür der Klageweg nach Art. 454 ZGB zu beschreiten, was selbst für eine allfällige Feststellung der Widerrechtlichkeit einer fürsorgerischen Unterbringung als Form der Genugtuung gelten würde (vgl. BGE 140 III 93 E. 2.3 S. 96).</w:t>
      </w:r>
    </w:p>
    <w:p>
      <w:r>
        <w:rPr>
          <w:b/>
        </w:rPr>
        <w:t>E. 5</w:t>
      </w:r>
    </w:p>
    <w:p>
      <w:r>
        <w:t>Nach dem Gesagten ist die Beschwerde im Verfahren nach Art. 109 Abs. 2 lit. a BGG abzuweisen, soweit darauf eingetreten werden kann.</w:t>
      </w:r>
    </w:p>
    <w:p>
      <w:r>
        <w:rPr>
          <w:b/>
        </w:rPr>
        <w:t>E. 6</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