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5A_913/2014 vom 5. Februar 2015</w:t>
      </w:r>
    </w:p>
    <w:p>
      <w:r>
        <w:t>Bundesgericht, 2015-02-05, FR</w:t>
      </w:r>
    </w:p>
    <w:p>
      <w:r>
        <w:rPr>
          <w:b/>
        </w:rPr>
        <w:t xml:space="preserve">Quelle: </w:t>
      </w:r>
      <w:r>
        <w:t>https://mcp.opencaselaw.ch/entscheid/bger_5A_913_2014</w:t>
      </w:r>
    </w:p>
    <w:p>
      <w:r>
        <w:t>FR: TF 5A_913/2014 du 5 février 2015</w:t>
      </w:r>
    </w:p>
    <w:p>
      <w:r>
        <w:t>IT: TF 5A_913/2014 del 5 febbraio 2015</w:t>
      </w:r>
    </w:p>
    <w:p>
      <w:pPr>
        <w:pStyle w:val="Heading2"/>
      </w:pPr>
      <w:r>
        <w:t>Erwägungen</w:t>
      </w:r>
    </w:p>
    <w:p>
      <w:r>
        <w:rPr>
          <w:b/>
        </w:rPr>
        <w:t>E. 1</w:t>
      </w:r>
    </w:p>
    <w:p>
      <w:r>
        <w:t>Le recours est dirigé contre une décision finale ( art. 90 LTF ; ATF 134 III 426 consid. 2.2), rendue en matière civile ( art. 72 al. 1 LTF ) par l'autorité de dernière instance cantonale statuant sur recours ( art. 75 LTF ), dans une cause de nature pécuniaire dont la valeur litigieuse est supérieure à 30'000 fr. ( art. 51 al. 1 let. a et al. 4, art. 74 al. 1 let. b LTF ). Il a en outre été interjeté en temps utile ( art. 100 al. 1 LTF ) par la partie qui a succombé dans ses conclusions prises devant l'autorité précédente ( art. 76 al. 1 LTF ), de sorte qu'il est en principe recevable.</w:t>
      </w:r>
    </w:p>
    <w:p>
      <w:r>
        <w:rPr>
          <w:b/>
        </w:rPr>
        <w:t>E. 2.1</w:t>
      </w:r>
    </w:p>
    <w:p>
      <w:r>
        <w:t>Dans le cadre d'un recours en matière civile ( art. 72 ss LTF ), qui est une voie de réforme, si le Tribunal fédéral admet le recours, il peut en principe statuer lui-même sur le fond ( art. 107 al. 2 LTF ), en sorte que le recourant ne peut se borner à demander l'annulation de la décision attaquée et le renvoi de la cause à l'autorité cantonale; il doit également, sous peine d'irrecevabilité, prendre des conclusions sur le fond du litige ( ATF 134 III 379 consid. 1.3; arrêts 5A_140/2013 du 28 mai 2013 consid. 1.2; 5A_461/2011 du 14 octobre 2011 consid. 2).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134 III 379 consid. 1.3; 133 III 489 consid. 3.1; 130 III 136 consid. 1.2). Il appartient au recourant de démontrer que le Tribunal fédéral ne serait pas en mesure de statuer lorsque cela ne ressort pas sans autre de la décision attaquée ( ATF 134 III 235 consid. 2; 133 III 489 consid. 3.2; arrêt 4A_402/2011 du 19 décembre 2011 consid. 1.1).</w:t>
      </w:r>
    </w:p>
    <w:p>
      <w:r>
        <w:t>De surcroît, les conclusions doivent être déterminées et précises, c'est-à-dire indiquer exactement quelles modifications sont demandées (arrêts 5A_623/2011 du 20 février 2012 consid. 1.2; 5A_359/2011 du 7 septembre 2011 consid. 1.2.1).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en particulier lorsque le litige porte sur le paiement d'une somme d'argent (arrêt 4A_402/2011 précité consid. 1.2). Dans cette hypothèse, les conclusions doivent être chiffrées ( ATF 134 III 235 consid. 2). Exceptionnellement, des conclusions non chiffrées suffisent lorsque la somme à allouer est d'emblée reconnaissable au regard de la motivation du recours ou de la décision attaquée ( ATF 134 III 235 consid. 2 et les références citées; arrêt 5A_766/2008 du 4 février 2009 consid. 2.2 s., publié</w:t>
      </w:r>
    </w:p>
    <w:p>
      <w:r>
        <w:t>in: FamPra.ch 2009 p. 422).</w:t>
      </w:r>
    </w:p>
    <w:p>
      <w:r>
        <w:t>Les conclusions constatatoires sont subsidiaires et ne sont recevables que si la partie ne peut pas obtenir en sa faveur un jugement condamnatoire ou formateur (arrêt 1C_273/2012 du 7 novembre 2012 consid. 2.2.2 non publié aux ATF 139 I 2 ; ATF 137 II 199 consid. 6.5).</w:t>
      </w:r>
    </w:p>
    <w:p>
      <w:r>
        <w:rPr>
          <w:b/>
        </w:rPr>
        <w:t>E. 2.2</w:t>
      </w:r>
    </w:p>
    <w:p>
      <w:r>
        <w:t>En l'espèce, on cherche en vain dans l'acte de recours des conclusions réformatoires et chiffrées. Le recourant se borne en effet à prendre une conclusion constatatoire - par essence subsidiaire - et à solliciter le renvoi de la cause à l'autorité précédente. Il ne chiffre ni le montant de la contribution d'entretien qu'il juge acceptable ni celui de la réduction sollicitée, alors qu'il a parfaitement été en mesure de le faire en appel. Il n'expose pas non plus en quoi la Cour de céans serait empêchée de réformer elle-même la décision querellée, bien que la décision entreprise contienne toutes les indications utiles quant aux revenus et charges des parties. Il se contente à cet égard de déclarer de manière lapidaire et sans autre explication qu'il ne serait pas nécessaire d'établir ses propres charges, ce tout en chiffrant ses propres revenus ainsi que le revenu hypothétique qui devrait selon lui être imputé à son épouse. Faute de conclusion réformatoire chiffrée d'emblée reconnaissable ou d'explication justifiant la renonciation à prendre une telle conclusion dans son recours au Tribunal fédéral, l'irrecevabilité de celui-ci doit être constatée.</w:t>
      </w:r>
    </w:p>
    <w:p>
      <w:r>
        <w:rPr>
          <w:b/>
        </w:rPr>
        <w:t>E. 2.3</w:t>
      </w:r>
    </w:p>
    <w:p>
      <w:r>
        <w:t>Eût-il fallu considérer les conclusions du recourant comme recevables que le recours aurait dû être déclaré irrecevable pour un autre motif:</w:t>
      </w:r>
    </w:p>
    <w:p>
      <w:r>
        <w:rPr>
          <w:b/>
        </w:rPr>
        <w:t>E. 2.3.1</w:t>
      </w:r>
    </w:p>
    <w:p>
      <w:r>
        <w:t>Saisi comme en l'espèce d'un recours fondé sur l' art. 98 LTF , le Tribunal fédéral ne revoit l'application du droit fédéral que sous l'angle restreint de l'arbitraire (cf. ATF 135 III 232 consid. 1.2). Le justiciable qui se plaint d'une violation de l' art. 9 Cst. ne saurait se contenter de critiquer la décision attaquée comme il le ferait en instance d'appel, où l'autorité supérieure jouit d'une libre cognition; en particulier, il ne peut se borner à opposer son opinion à celle de l'autorité cantonale, mais doit démontrer par une argumentation précise, conforme au principe d'allégation ( art. 106 al. 2 LTF ), que cette décision repose sur une application de la loi manifestement insoutenable ( ATF 134 II 349 consid. 3 et les références).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134 II 244 consid. 2.1 et 2.3). S'agissant plus particulièrement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136 III 552 consid. 4.2; 134 V 53 consid. 4.3); encore faut-il que la correction du vice soit susceptible d'influer sur le sort de la cause (art. 97 al. 1</w:t>
      </w:r>
    </w:p>
    <w:p>
      <w:r>
        <w:t>in fine LTF). Cette retenue est d'autant plus grande lorsque, comme en l'espèce, le juge n'examine la cause que d'une manière sommaire et provisoire ( ATF 130 III 321 consid. 3.3; 127 III 474 consid. 2b/bb).</w:t>
      </w:r>
    </w:p>
    <w:p>
      <w:r>
        <w:rPr>
          <w:b/>
        </w:rPr>
        <w:t>E. 2.3.2</w:t>
      </w:r>
    </w:p>
    <w:p>
      <w:r>
        <w:t>En l'occurrence, le recourant s'en prend aux motifs de la décision querellée de manière purement appellatoire, au moyen d'une série d'allégations et de renvois aux pièces produites en instance cantonale ainsi qu'à l'audition du témoin C.________. Ce faisant, le recourant se borne à présenter sa propre version des faits et à rediscuter la manière dont l'autorité cantonale a apprécié les preuves, sans démontrer en quoi cette appréciation serait manifestement insoutenable.</w:t>
      </w:r>
    </w:p>
    <w:p>
      <w:r>
        <w:t>S'agissant en particulier du grief relatif à la modification de sa situation financière, l'argumentation du recourant tend pour l'essentiel à démontrer qu'il ne pouvait prévoir que le paiement du solde de la dette de son neveu interviendrait aussi vite, à savoir seulement quatre mois après la conclusion de la convention du 8 juin 2012. Or, il importe peu de savoir si le recourant connaissait effectivement l'échéance à laquelle le solde du prix lui serait payé, la motivation cantonale tendant davantage à démontrer que le recourant savait que le paiement des intérêts moratoires prendrait fin tôt ou tard et qu'il avait pris cette circonstance prévisible en compte au moment de la conclusion de la convention du 8 juin 2012, ce qu'il ne conteste pas valablement. Il ne s'en prend au surplus pas non plus à la constatation selon laquelle il n'aurait pas fourni tous les éléments propres à renseigner sur sa propre situation et aurait en particulier été incapable de produire un décompte exact des versements opérés au titre du paiement du prix de vente de la boucherie et des intérêts moratoires. Enfin, l'autorité cantonale a relevé à juste titre que le fait que le recourant ait introduit sa requête en modification seulement une année après que son neveu eut cessé de lui verser les intérêts moratoires tend à démontrer que sa capacité contributive est demeurée inchangée. Là encore le recourant ne parvient pas à infirmer la motivation cantonale puisque, contrairement à ce qu'il prétend, le caractère durable de la situation était donné indépendamment de la date à laquelle sa requête en modification aurait été introduite vu que le solde du prix de vente avait été payé et qu'il était dès lors clair que le versement des intérêts moratoires avait définitivement pris fin. En outre, l'affirmation selon laquelle il aurait dû puiser dans sa fortune pour contribuer à l'entretien de son épouse pendant la période comprise entre le 19 octobre 2012 et le dépôt de sa requête de mesures provisionnelles le 29 novembre 2013 n'est aucunement étayée et n'explique pas pourquoi il a introduit dite requête si tardivement.</w:t>
      </w:r>
    </w:p>
    <w:p>
      <w:r>
        <w:t>En ce qui concerne le grief lié à la détermination du revenu de l'épouse, les écritures du recourant consistent en une reproduction fidèle de son recours cantonal, sans que ses critiques soient dirigées contre la motivation de la décision entreprise. Un tel procédé n'est pas conforme aux exigences de motivation susmentionnées (cf.</w:t>
      </w:r>
    </w:p>
    <w:p>
      <w:r>
        <w:t>supra consid. 2.3.1) et entraîne également l'irrecevabilité du recours sur ce point.</w:t>
      </w:r>
    </w:p>
    <w:p>
      <w:r>
        <w:rPr>
          <w:b/>
        </w:rPr>
        <w:t>E. 3</w:t>
      </w:r>
    </w:p>
    <w:p>
      <w:r>
        <w:t>En définitive, le recours doit être déclaré irrecevable, aux frais de son auteur ( art. 66 al. 1 LTF ). L'intimée, qui n'a pas été invitée à répondre sur le fond et qui a conclu au rejet de la demande d'effet suspensif,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